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A03E2" w14:textId="000B389B" w:rsidR="00B40972" w:rsidRPr="0001443B" w:rsidRDefault="00B40972" w:rsidP="009A7B17">
      <w:pPr>
        <w:tabs>
          <w:tab w:val="left" w:pos="0"/>
        </w:tabs>
        <w:spacing w:after="0" w:line="360" w:lineRule="auto"/>
        <w:jc w:val="center"/>
        <w:rPr>
          <w:rFonts w:ascii="Times New Roman" w:eastAsia="Arial" w:hAnsi="Times New Roman" w:cs="Times New Roman"/>
          <w:sz w:val="24"/>
          <w:szCs w:val="24"/>
          <w:lang w:eastAsia="en-US"/>
        </w:rPr>
      </w:pPr>
    </w:p>
    <w:p w14:paraId="53BF722A" w14:textId="4A4834A5" w:rsidR="000011CD" w:rsidRPr="00CB623E" w:rsidRDefault="0001443B" w:rsidP="009A7B17">
      <w:pPr>
        <w:tabs>
          <w:tab w:val="left" w:pos="0"/>
        </w:tabs>
        <w:spacing w:after="0" w:line="360" w:lineRule="auto"/>
        <w:jc w:val="center"/>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 xml:space="preserve">ANEXO II - </w:t>
      </w:r>
      <w:r w:rsidR="000011CD" w:rsidRPr="00CB623E">
        <w:rPr>
          <w:rFonts w:ascii="Times New Roman" w:hAnsi="Times New Roman" w:cs="Times New Roman"/>
          <w:b/>
          <w:sz w:val="24"/>
          <w:szCs w:val="24"/>
          <w:u w:val="single"/>
          <w:lang w:eastAsia="en-US"/>
        </w:rPr>
        <w:t>TERMO DE REFERÊNCIA</w:t>
      </w:r>
    </w:p>
    <w:p w14:paraId="728BA0DA" w14:textId="77777777" w:rsidR="000011CD" w:rsidRPr="00CB623E" w:rsidRDefault="000011CD" w:rsidP="00625040">
      <w:pPr>
        <w:tabs>
          <w:tab w:val="left" w:pos="0"/>
        </w:tabs>
        <w:spacing w:after="0" w:line="360" w:lineRule="auto"/>
        <w:rPr>
          <w:rFonts w:ascii="Times New Roman" w:eastAsia="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INTRODUÇÃO</w:t>
      </w:r>
    </w:p>
    <w:p w14:paraId="71A6C51A" w14:textId="06B7B750" w:rsidR="000011CD" w:rsidRPr="00CB623E" w:rsidRDefault="000011CD" w:rsidP="009A7B17">
      <w:pPr>
        <w:tabs>
          <w:tab w:val="left" w:pos="0"/>
        </w:tabs>
        <w:spacing w:after="0"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Este TERMO DE REFERÊNCIA reúne o conjunto de informações necessárias para subsidiar e orientar quanto à realização de certame licitatório e as condições mínimas exigíveis para a execução do objeto, ficando este expressamente fundamentado na Lei Federal 14.133 de 01 de abril de 2021 e suas alterações, em conformidade com o Decreto Municipal nº 3635 de 12 de maio de 2023, visando atender as demandas e necessidades da Secretaria Municipal de Educação</w:t>
      </w:r>
      <w:r w:rsidR="009623F4" w:rsidRPr="00CB623E">
        <w:rPr>
          <w:rFonts w:ascii="Times New Roman" w:hAnsi="Times New Roman" w:cs="Times New Roman"/>
          <w:sz w:val="24"/>
          <w:szCs w:val="24"/>
          <w:lang w:eastAsia="en-US"/>
        </w:rPr>
        <w:t xml:space="preserve"> e Secretaria Municipal de Assistência Social e Direitos Humanos.</w:t>
      </w:r>
    </w:p>
    <w:p w14:paraId="25E464AB" w14:textId="77777777" w:rsidR="000011CD" w:rsidRPr="00CB623E" w:rsidRDefault="000011CD" w:rsidP="009A7B17">
      <w:pPr>
        <w:tabs>
          <w:tab w:val="left" w:pos="0"/>
        </w:tabs>
        <w:spacing w:after="0" w:line="240" w:lineRule="auto"/>
        <w:rPr>
          <w:rFonts w:ascii="Times New Roman" w:hAnsi="Times New Roman" w:cs="Times New Roman"/>
          <w:sz w:val="16"/>
          <w:szCs w:val="16"/>
          <w:lang w:eastAsia="en-US"/>
        </w:rPr>
      </w:pPr>
    </w:p>
    <w:p w14:paraId="45F6AF17" w14:textId="77777777" w:rsidR="000011CD" w:rsidRPr="00CB623E" w:rsidRDefault="000011CD" w:rsidP="009A7B17">
      <w:pPr>
        <w:numPr>
          <w:ilvl w:val="0"/>
          <w:numId w:val="13"/>
        </w:numPr>
        <w:tabs>
          <w:tab w:val="left" w:pos="0"/>
        </w:tabs>
        <w:spacing w:after="0" w:line="360" w:lineRule="auto"/>
        <w:ind w:left="0" w:firstLine="0"/>
        <w:contextualSpacing/>
        <w:rPr>
          <w:rFonts w:ascii="Times New Roman" w:eastAsia="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DO OBJETO</w:t>
      </w:r>
    </w:p>
    <w:p w14:paraId="23A7DD53" w14:textId="76AC895E"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O objeto deste Termo de Referência versa sobre </w:t>
      </w:r>
      <w:r w:rsidR="00AB7C32" w:rsidRPr="00CB623E">
        <w:rPr>
          <w:rFonts w:ascii="Times New Roman" w:hAnsi="Times New Roman" w:cs="Times New Roman"/>
          <w:sz w:val="24"/>
          <w:szCs w:val="24"/>
          <w:lang w:eastAsia="en-US"/>
        </w:rPr>
        <w:t xml:space="preserve">contratação de </w:t>
      </w:r>
      <w:r w:rsidR="007232F3" w:rsidRPr="00CB623E">
        <w:rPr>
          <w:rFonts w:ascii="Times New Roman" w:hAnsi="Times New Roman" w:cs="Times New Roman"/>
          <w:b/>
          <w:bCs/>
          <w:sz w:val="24"/>
          <w:szCs w:val="24"/>
          <w:lang w:eastAsia="en-US"/>
        </w:rPr>
        <w:t>A CONTRATAÇÃO DE</w:t>
      </w:r>
      <w:r w:rsidR="007F6963" w:rsidRPr="00CB623E">
        <w:rPr>
          <w:rFonts w:ascii="Times New Roman" w:hAnsi="Times New Roman" w:cs="Times New Roman"/>
          <w:b/>
          <w:bCs/>
          <w:sz w:val="24"/>
          <w:szCs w:val="24"/>
          <w:lang w:eastAsia="en-US"/>
        </w:rPr>
        <w:t xml:space="preserve"> EMPRESA PARA FORNECIMENTO</w:t>
      </w:r>
      <w:r w:rsidR="007232F3" w:rsidRPr="00CB623E">
        <w:rPr>
          <w:rFonts w:ascii="Times New Roman" w:hAnsi="Times New Roman" w:cs="Times New Roman"/>
          <w:b/>
          <w:bCs/>
          <w:sz w:val="24"/>
          <w:szCs w:val="24"/>
          <w:lang w:eastAsia="en-US"/>
        </w:rPr>
        <w:t xml:space="preserve"> E RECARGA DE GÁS GLP (BOTIJÕES DE 13 KG E P45)</w:t>
      </w:r>
      <w:r w:rsidRPr="00CB623E">
        <w:rPr>
          <w:rFonts w:ascii="Times New Roman" w:hAnsi="Times New Roman" w:cs="Times New Roman"/>
          <w:sz w:val="24"/>
          <w:szCs w:val="24"/>
          <w:lang w:eastAsia="en-US"/>
        </w:rPr>
        <w:t xml:space="preserve"> por </w:t>
      </w:r>
      <w:r w:rsidRPr="00CB623E">
        <w:rPr>
          <w:rFonts w:ascii="Times New Roman" w:hAnsi="Times New Roman" w:cs="Times New Roman"/>
          <w:b/>
          <w:color w:val="000000"/>
          <w:sz w:val="24"/>
          <w:szCs w:val="24"/>
          <w:lang w:eastAsia="en-US"/>
        </w:rPr>
        <w:t>MENOR PREÇO</w:t>
      </w:r>
      <w:r w:rsidR="00AB7C32" w:rsidRPr="00CB623E">
        <w:rPr>
          <w:rFonts w:ascii="Times New Roman" w:hAnsi="Times New Roman" w:cs="Times New Roman"/>
          <w:b/>
          <w:color w:val="000000"/>
          <w:sz w:val="24"/>
          <w:szCs w:val="24"/>
          <w:lang w:eastAsia="en-US"/>
        </w:rPr>
        <w:t xml:space="preserve"> POR ITEM</w:t>
      </w:r>
      <w:r w:rsidRPr="00CB623E">
        <w:rPr>
          <w:rFonts w:ascii="Times New Roman" w:hAnsi="Times New Roman" w:cs="Times New Roman"/>
          <w:sz w:val="24"/>
          <w:szCs w:val="24"/>
          <w:lang w:eastAsia="en-US"/>
        </w:rPr>
        <w:t>, nos termos e condições estabelecidas neste documento;</w:t>
      </w:r>
    </w:p>
    <w:p w14:paraId="79E27611" w14:textId="77777777"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A abrangência do objeto atenderá demanda das unidades educacionais da municipalidade, de acordo com as condições e especificações constantes neste instrumento e no Edital;</w:t>
      </w:r>
    </w:p>
    <w:p w14:paraId="7FD85DDD" w14:textId="77777777"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b/>
          <w:sz w:val="24"/>
          <w:szCs w:val="24"/>
          <w:lang w:eastAsia="en-US"/>
        </w:rPr>
      </w:pPr>
      <w:r w:rsidRPr="00CB623E">
        <w:rPr>
          <w:rFonts w:ascii="Times New Roman" w:hAnsi="Times New Roman" w:cs="Times New Roman"/>
          <w:sz w:val="24"/>
          <w:szCs w:val="24"/>
          <w:lang w:eastAsia="en-US"/>
        </w:rPr>
        <w:t>A contratação do referido objeto ocorrerá seguindo as especificações nos termos da tabela a seguir:</w:t>
      </w:r>
    </w:p>
    <w:p w14:paraId="2A95D282" w14:textId="6CB71AFC" w:rsidR="000011CD" w:rsidRPr="00CB623E" w:rsidRDefault="000011CD" w:rsidP="009A7B17">
      <w:pPr>
        <w:tabs>
          <w:tab w:val="left" w:pos="0"/>
        </w:tabs>
        <w:spacing w:after="0" w:line="360" w:lineRule="auto"/>
        <w:jc w:val="center"/>
        <w:rPr>
          <w:rFonts w:ascii="Times New Roman" w:hAnsi="Times New Roman" w:cs="Times New Roman"/>
          <w:b/>
          <w:sz w:val="24"/>
          <w:szCs w:val="24"/>
          <w:lang w:eastAsia="en-US"/>
        </w:rPr>
      </w:pPr>
      <w:r w:rsidRPr="00CB623E">
        <w:rPr>
          <w:rFonts w:ascii="Times New Roman" w:hAnsi="Times New Roman" w:cs="Times New Roman"/>
          <w:b/>
          <w:sz w:val="24"/>
          <w:szCs w:val="24"/>
          <w:lang w:eastAsia="en-US"/>
        </w:rPr>
        <w:t>ESPECIFICAÇÃO</w:t>
      </w: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3685"/>
        <w:gridCol w:w="758"/>
        <w:gridCol w:w="1628"/>
        <w:gridCol w:w="1393"/>
        <w:gridCol w:w="1014"/>
      </w:tblGrid>
      <w:tr w:rsidR="00B27397" w:rsidRPr="00CB623E" w14:paraId="381D9629" w14:textId="77777777" w:rsidTr="00F36DEA">
        <w:trPr>
          <w:trHeight w:val="877"/>
        </w:trPr>
        <w:tc>
          <w:tcPr>
            <w:tcW w:w="851" w:type="dxa"/>
            <w:shd w:val="clear" w:color="auto" w:fill="C4BC96" w:themeFill="background2" w:themeFillShade="BF"/>
            <w:noWrap/>
            <w:vAlign w:val="center"/>
            <w:hideMark/>
          </w:tcPr>
          <w:p w14:paraId="428903E1" w14:textId="77777777" w:rsidR="00B27397" w:rsidRPr="00CB623E" w:rsidRDefault="00B27397" w:rsidP="009A7B17">
            <w:pPr>
              <w:tabs>
                <w:tab w:val="left" w:pos="0"/>
              </w:tabs>
              <w:spacing w:after="0" w:line="36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ITEM</w:t>
            </w:r>
          </w:p>
        </w:tc>
        <w:tc>
          <w:tcPr>
            <w:tcW w:w="3685" w:type="dxa"/>
            <w:shd w:val="clear" w:color="auto" w:fill="C4BC96" w:themeFill="background2" w:themeFillShade="BF"/>
            <w:noWrap/>
            <w:vAlign w:val="center"/>
            <w:hideMark/>
          </w:tcPr>
          <w:p w14:paraId="1D66A223"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ESPECIFICAÇÃO</w:t>
            </w:r>
          </w:p>
        </w:tc>
        <w:tc>
          <w:tcPr>
            <w:tcW w:w="758" w:type="dxa"/>
            <w:shd w:val="clear" w:color="auto" w:fill="C4BC96" w:themeFill="background2" w:themeFillShade="BF"/>
            <w:vAlign w:val="center"/>
            <w:hideMark/>
          </w:tcPr>
          <w:p w14:paraId="0566D290"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UNID.</w:t>
            </w:r>
          </w:p>
        </w:tc>
        <w:tc>
          <w:tcPr>
            <w:tcW w:w="1628" w:type="dxa"/>
            <w:shd w:val="clear" w:color="auto" w:fill="C4BC96" w:themeFill="background2" w:themeFillShade="BF"/>
            <w:vAlign w:val="center"/>
            <w:hideMark/>
          </w:tcPr>
          <w:p w14:paraId="54A89A7B"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SME</w:t>
            </w:r>
          </w:p>
        </w:tc>
        <w:tc>
          <w:tcPr>
            <w:tcW w:w="1393" w:type="dxa"/>
            <w:shd w:val="clear" w:color="auto" w:fill="C4BC96" w:themeFill="background2" w:themeFillShade="BF"/>
            <w:vAlign w:val="center"/>
            <w:hideMark/>
          </w:tcPr>
          <w:p w14:paraId="633B350D"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SMASDH</w:t>
            </w:r>
          </w:p>
        </w:tc>
        <w:tc>
          <w:tcPr>
            <w:tcW w:w="1014" w:type="dxa"/>
            <w:shd w:val="clear" w:color="auto" w:fill="C4BC96" w:themeFill="background2" w:themeFillShade="BF"/>
            <w:vAlign w:val="center"/>
          </w:tcPr>
          <w:p w14:paraId="716F21CA" w14:textId="77777777" w:rsidR="00B27397" w:rsidRPr="00CB623E" w:rsidRDefault="00B27397" w:rsidP="009A7B17">
            <w:pPr>
              <w:tabs>
                <w:tab w:val="left" w:pos="0"/>
              </w:tabs>
              <w:spacing w:after="0" w:line="360" w:lineRule="auto"/>
              <w:jc w:val="center"/>
              <w:rPr>
                <w:rFonts w:ascii="Times New Roman" w:eastAsia="Times New Roman" w:hAnsi="Times New Roman" w:cs="Times New Roman"/>
                <w:sz w:val="20"/>
                <w:szCs w:val="20"/>
              </w:rPr>
            </w:pPr>
            <w:r w:rsidRPr="00CB623E">
              <w:rPr>
                <w:rFonts w:ascii="Times New Roman" w:hAnsi="Times New Roman" w:cs="Times New Roman"/>
                <w:b/>
                <w:bCs/>
              </w:rPr>
              <w:t>QTDE. TOTAL</w:t>
            </w:r>
          </w:p>
        </w:tc>
      </w:tr>
      <w:tr w:rsidR="00B27397" w:rsidRPr="00CB623E" w14:paraId="4FC822A1" w14:textId="77777777" w:rsidTr="00F36DEA">
        <w:trPr>
          <w:trHeight w:val="1111"/>
        </w:trPr>
        <w:tc>
          <w:tcPr>
            <w:tcW w:w="851" w:type="dxa"/>
            <w:shd w:val="clear" w:color="auto" w:fill="BFBFBF" w:themeFill="background1" w:themeFillShade="BF"/>
            <w:vAlign w:val="center"/>
            <w:hideMark/>
          </w:tcPr>
          <w:p w14:paraId="621676E3" w14:textId="17F4E3C8" w:rsidR="00B27397" w:rsidRPr="00CB623E" w:rsidRDefault="009A7B17" w:rsidP="009A7B17">
            <w:pPr>
              <w:tabs>
                <w:tab w:val="left" w:pos="-795"/>
              </w:tabs>
              <w:spacing w:after="0" w:line="360" w:lineRule="auto"/>
              <w:ind w:left="-795"/>
              <w:jc w:val="right"/>
              <w:rPr>
                <w:rFonts w:ascii="Times New Roman" w:eastAsia="Times New Roman" w:hAnsi="Times New Roman" w:cs="Times New Roman"/>
                <w:b/>
                <w:bCs/>
              </w:rPr>
            </w:pPr>
            <w:r w:rsidRPr="00CB623E">
              <w:rPr>
                <w:rFonts w:ascii="Times New Roman" w:eastAsia="Times New Roman" w:hAnsi="Times New Roman" w:cs="Times New Roman"/>
                <w:b/>
                <w:bCs/>
              </w:rPr>
              <w:t>1</w:t>
            </w:r>
          </w:p>
        </w:tc>
        <w:tc>
          <w:tcPr>
            <w:tcW w:w="3685" w:type="dxa"/>
            <w:vAlign w:val="center"/>
            <w:hideMark/>
          </w:tcPr>
          <w:p w14:paraId="12DBD40F" w14:textId="77777777" w:rsidR="00B27397" w:rsidRPr="00CB623E" w:rsidRDefault="00B27397" w:rsidP="009A7B17">
            <w:pPr>
              <w:tabs>
                <w:tab w:val="left" w:pos="0"/>
              </w:tabs>
              <w:spacing w:after="0" w:line="240" w:lineRule="auto"/>
              <w:jc w:val="left"/>
              <w:rPr>
                <w:rFonts w:ascii="Times New Roman" w:eastAsia="Times New Roman" w:hAnsi="Times New Roman" w:cs="Times New Roman"/>
              </w:rPr>
            </w:pPr>
            <w:r w:rsidRPr="00CB623E">
              <w:rPr>
                <w:rFonts w:ascii="Times New Roman" w:eastAsia="Times New Roman" w:hAnsi="Times New Roman" w:cs="Times New Roman"/>
              </w:rPr>
              <w:t>Recarga de Botijão o de Gás Liquefeito de Petróleo (GLP) – Chapa de aço, tipo gás propano – butano, botijão com capacidade de 45kg.</w:t>
            </w:r>
          </w:p>
        </w:tc>
        <w:tc>
          <w:tcPr>
            <w:tcW w:w="758" w:type="dxa"/>
            <w:vAlign w:val="center"/>
            <w:hideMark/>
          </w:tcPr>
          <w:p w14:paraId="16630504" w14:textId="77777777" w:rsidR="00B27397" w:rsidRPr="00CB623E" w:rsidRDefault="00B27397" w:rsidP="009A7B17">
            <w:pPr>
              <w:tabs>
                <w:tab w:val="left" w:pos="0"/>
              </w:tabs>
              <w:spacing w:after="0" w:line="240" w:lineRule="auto"/>
              <w:jc w:val="left"/>
              <w:rPr>
                <w:rFonts w:ascii="Times New Roman" w:eastAsia="Times New Roman" w:hAnsi="Times New Roman" w:cs="Times New Roman"/>
              </w:rPr>
            </w:pPr>
            <w:r w:rsidRPr="00CB623E">
              <w:rPr>
                <w:rFonts w:ascii="Times New Roman" w:eastAsia="Times New Roman" w:hAnsi="Times New Roman" w:cs="Times New Roman"/>
              </w:rPr>
              <w:t> Unid.</w:t>
            </w:r>
          </w:p>
        </w:tc>
        <w:tc>
          <w:tcPr>
            <w:tcW w:w="1628" w:type="dxa"/>
            <w:vAlign w:val="center"/>
            <w:hideMark/>
          </w:tcPr>
          <w:p w14:paraId="6FC41B74"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3.150</w:t>
            </w:r>
          </w:p>
        </w:tc>
        <w:tc>
          <w:tcPr>
            <w:tcW w:w="1393" w:type="dxa"/>
            <w:vAlign w:val="center"/>
            <w:hideMark/>
          </w:tcPr>
          <w:p w14:paraId="515E2966"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336</w:t>
            </w:r>
          </w:p>
        </w:tc>
        <w:tc>
          <w:tcPr>
            <w:tcW w:w="1014" w:type="dxa"/>
            <w:vAlign w:val="center"/>
          </w:tcPr>
          <w:p w14:paraId="24671C6D" w14:textId="77777777" w:rsidR="00B27397" w:rsidRPr="00CB623E" w:rsidRDefault="00B27397" w:rsidP="009A7B17">
            <w:pPr>
              <w:tabs>
                <w:tab w:val="left" w:pos="0"/>
              </w:tabs>
              <w:spacing w:after="0" w:line="360" w:lineRule="auto"/>
              <w:jc w:val="center"/>
              <w:rPr>
                <w:rFonts w:ascii="Times New Roman" w:eastAsia="Times New Roman" w:hAnsi="Times New Roman" w:cs="Times New Roman"/>
              </w:rPr>
            </w:pPr>
            <w:r w:rsidRPr="00CB623E">
              <w:rPr>
                <w:rFonts w:ascii="Times New Roman" w:hAnsi="Times New Roman" w:cs="Times New Roman"/>
              </w:rPr>
              <w:t>3.486</w:t>
            </w:r>
          </w:p>
        </w:tc>
      </w:tr>
      <w:tr w:rsidR="00B27397" w:rsidRPr="00CB623E" w14:paraId="189ED973" w14:textId="77777777" w:rsidTr="00F36DEA">
        <w:trPr>
          <w:trHeight w:val="359"/>
        </w:trPr>
        <w:tc>
          <w:tcPr>
            <w:tcW w:w="851" w:type="dxa"/>
            <w:shd w:val="clear" w:color="auto" w:fill="BFBFBF" w:themeFill="background1" w:themeFillShade="BF"/>
            <w:noWrap/>
            <w:vAlign w:val="center"/>
            <w:hideMark/>
          </w:tcPr>
          <w:p w14:paraId="6F029E62" w14:textId="4AB3C0B0" w:rsidR="00B27397" w:rsidRPr="00CB623E" w:rsidRDefault="00F36DEA" w:rsidP="009A7B17">
            <w:pPr>
              <w:tabs>
                <w:tab w:val="left" w:pos="0"/>
              </w:tabs>
              <w:spacing w:after="0" w:line="36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2</w:t>
            </w:r>
          </w:p>
        </w:tc>
        <w:tc>
          <w:tcPr>
            <w:tcW w:w="3685" w:type="dxa"/>
            <w:vAlign w:val="center"/>
            <w:hideMark/>
          </w:tcPr>
          <w:p w14:paraId="5282F895" w14:textId="77777777" w:rsidR="00B27397" w:rsidRPr="00CB623E" w:rsidRDefault="00B27397" w:rsidP="009A7B17">
            <w:pPr>
              <w:tabs>
                <w:tab w:val="left" w:pos="0"/>
              </w:tabs>
              <w:spacing w:after="0" w:line="240" w:lineRule="auto"/>
              <w:jc w:val="left"/>
              <w:rPr>
                <w:rFonts w:ascii="Times New Roman" w:eastAsia="Times New Roman" w:hAnsi="Times New Roman" w:cs="Times New Roman"/>
              </w:rPr>
            </w:pPr>
            <w:r w:rsidRPr="00CB623E">
              <w:rPr>
                <w:rFonts w:ascii="Times New Roman" w:eastAsia="Times New Roman" w:hAnsi="Times New Roman" w:cs="Times New Roman"/>
              </w:rPr>
              <w:t>Vasilhame de Botijão o de Gás Liquefeito de Petróleo (GLP) – Chapa de aço, tipo gás propano – butano, botijão com capacidade de 13kg.</w:t>
            </w:r>
          </w:p>
        </w:tc>
        <w:tc>
          <w:tcPr>
            <w:tcW w:w="758" w:type="dxa"/>
            <w:noWrap/>
            <w:vAlign w:val="center"/>
            <w:hideMark/>
          </w:tcPr>
          <w:p w14:paraId="05874406"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 Unid.</w:t>
            </w:r>
          </w:p>
        </w:tc>
        <w:tc>
          <w:tcPr>
            <w:tcW w:w="1628" w:type="dxa"/>
            <w:noWrap/>
            <w:vAlign w:val="center"/>
            <w:hideMark/>
          </w:tcPr>
          <w:p w14:paraId="31495021"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260</w:t>
            </w:r>
          </w:p>
        </w:tc>
        <w:tc>
          <w:tcPr>
            <w:tcW w:w="1393" w:type="dxa"/>
            <w:noWrap/>
            <w:vAlign w:val="center"/>
            <w:hideMark/>
          </w:tcPr>
          <w:p w14:paraId="6493D36F"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45</w:t>
            </w:r>
          </w:p>
        </w:tc>
        <w:tc>
          <w:tcPr>
            <w:tcW w:w="1014" w:type="dxa"/>
            <w:vAlign w:val="center"/>
          </w:tcPr>
          <w:p w14:paraId="1623342D" w14:textId="77777777" w:rsidR="00B27397" w:rsidRPr="00CB623E" w:rsidRDefault="00B27397" w:rsidP="009A7B17">
            <w:pPr>
              <w:tabs>
                <w:tab w:val="left" w:pos="0"/>
              </w:tabs>
              <w:spacing w:after="0" w:line="360" w:lineRule="auto"/>
              <w:jc w:val="center"/>
              <w:rPr>
                <w:rFonts w:ascii="Times New Roman" w:eastAsia="Times New Roman" w:hAnsi="Times New Roman" w:cs="Times New Roman"/>
              </w:rPr>
            </w:pPr>
            <w:r w:rsidRPr="00CB623E">
              <w:rPr>
                <w:rFonts w:ascii="Times New Roman" w:eastAsia="Times New Roman" w:hAnsi="Times New Roman" w:cs="Times New Roman"/>
              </w:rPr>
              <w:t>305</w:t>
            </w:r>
          </w:p>
        </w:tc>
      </w:tr>
      <w:tr w:rsidR="00B27397" w:rsidRPr="00CB623E" w14:paraId="3E78F3C4" w14:textId="77777777" w:rsidTr="00F36DEA">
        <w:trPr>
          <w:trHeight w:val="359"/>
        </w:trPr>
        <w:tc>
          <w:tcPr>
            <w:tcW w:w="851" w:type="dxa"/>
            <w:shd w:val="clear" w:color="auto" w:fill="BFBFBF" w:themeFill="background1" w:themeFillShade="BF"/>
            <w:noWrap/>
            <w:vAlign w:val="center"/>
            <w:hideMark/>
          </w:tcPr>
          <w:p w14:paraId="2108E2D3" w14:textId="662F7F8F" w:rsidR="00B27397" w:rsidRPr="00CB623E" w:rsidRDefault="00F36DEA" w:rsidP="009A7B17">
            <w:pPr>
              <w:tabs>
                <w:tab w:val="left" w:pos="0"/>
              </w:tabs>
              <w:spacing w:after="0" w:line="36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3</w:t>
            </w:r>
          </w:p>
        </w:tc>
        <w:tc>
          <w:tcPr>
            <w:tcW w:w="3685" w:type="dxa"/>
            <w:vAlign w:val="center"/>
            <w:hideMark/>
          </w:tcPr>
          <w:p w14:paraId="6CF28E85" w14:textId="77777777" w:rsidR="00B27397" w:rsidRPr="00CB623E" w:rsidRDefault="00B27397" w:rsidP="009A7B17">
            <w:pPr>
              <w:tabs>
                <w:tab w:val="left" w:pos="0"/>
              </w:tabs>
              <w:spacing w:after="0" w:line="240" w:lineRule="auto"/>
              <w:jc w:val="left"/>
              <w:rPr>
                <w:rFonts w:ascii="Times New Roman" w:eastAsia="Times New Roman" w:hAnsi="Times New Roman" w:cs="Times New Roman"/>
              </w:rPr>
            </w:pPr>
            <w:r w:rsidRPr="00CB623E">
              <w:rPr>
                <w:rFonts w:ascii="Times New Roman" w:eastAsia="Times New Roman" w:hAnsi="Times New Roman" w:cs="Times New Roman"/>
              </w:rPr>
              <w:t>Vasilhame de Botijão o de Gás Liquefeito de Petróleo (GLP) – Chapa de aço, tipo gás propano – butano, botijão com capacidade de 45kg.</w:t>
            </w:r>
          </w:p>
        </w:tc>
        <w:tc>
          <w:tcPr>
            <w:tcW w:w="758" w:type="dxa"/>
            <w:noWrap/>
            <w:vAlign w:val="center"/>
            <w:hideMark/>
          </w:tcPr>
          <w:p w14:paraId="3052644D"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 Unid.</w:t>
            </w:r>
          </w:p>
        </w:tc>
        <w:tc>
          <w:tcPr>
            <w:tcW w:w="1628" w:type="dxa"/>
            <w:noWrap/>
            <w:vAlign w:val="center"/>
            <w:hideMark/>
          </w:tcPr>
          <w:p w14:paraId="63DEABAC"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65</w:t>
            </w:r>
          </w:p>
        </w:tc>
        <w:tc>
          <w:tcPr>
            <w:tcW w:w="1393" w:type="dxa"/>
            <w:noWrap/>
            <w:vAlign w:val="center"/>
            <w:hideMark/>
          </w:tcPr>
          <w:p w14:paraId="706CCD2F" w14:textId="77777777" w:rsidR="00B27397" w:rsidRPr="00CB623E" w:rsidRDefault="00B27397"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w:t>
            </w:r>
          </w:p>
        </w:tc>
        <w:tc>
          <w:tcPr>
            <w:tcW w:w="1014" w:type="dxa"/>
            <w:vAlign w:val="center"/>
          </w:tcPr>
          <w:p w14:paraId="19086CE7" w14:textId="77777777" w:rsidR="00B27397" w:rsidRPr="00CB623E" w:rsidRDefault="00B27397" w:rsidP="009A7B17">
            <w:pPr>
              <w:tabs>
                <w:tab w:val="left" w:pos="0"/>
              </w:tabs>
              <w:spacing w:after="0" w:line="360" w:lineRule="auto"/>
              <w:jc w:val="center"/>
              <w:rPr>
                <w:rFonts w:ascii="Times New Roman" w:eastAsia="Times New Roman" w:hAnsi="Times New Roman" w:cs="Times New Roman"/>
              </w:rPr>
            </w:pPr>
            <w:r w:rsidRPr="00CB623E">
              <w:rPr>
                <w:rFonts w:ascii="Times New Roman" w:eastAsia="Times New Roman" w:hAnsi="Times New Roman" w:cs="Times New Roman"/>
              </w:rPr>
              <w:t>74</w:t>
            </w:r>
          </w:p>
        </w:tc>
      </w:tr>
      <w:tr w:rsidR="00F36DEA" w:rsidRPr="00CB623E" w14:paraId="5CD4B558" w14:textId="77777777" w:rsidTr="00F36DEA">
        <w:trPr>
          <w:trHeight w:val="359"/>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C440FA2" w14:textId="1CE87A05" w:rsidR="00F36DEA" w:rsidRPr="00CB623E" w:rsidRDefault="00F36DEA" w:rsidP="0006447A">
            <w:pPr>
              <w:tabs>
                <w:tab w:val="left" w:pos="0"/>
              </w:tabs>
              <w:spacing w:after="0" w:line="360" w:lineRule="auto"/>
              <w:jc w:val="center"/>
              <w:rPr>
                <w:rFonts w:ascii="Times New Roman" w:eastAsia="Times New Roman" w:hAnsi="Times New Roman" w:cs="Times New Roman"/>
                <w:b/>
                <w:bCs/>
              </w:rPr>
            </w:pPr>
            <w:r w:rsidRPr="00CB623E">
              <w:rPr>
                <w:rFonts w:ascii="Times New Roman" w:eastAsia="Times New Roman" w:hAnsi="Times New Roman" w:cs="Times New Roman"/>
                <w:b/>
                <w:bCs/>
              </w:rPr>
              <w:t>4</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A187E7D" w14:textId="77777777" w:rsidR="00F36DEA" w:rsidRPr="00CB623E" w:rsidRDefault="00F36DEA" w:rsidP="0006447A">
            <w:pPr>
              <w:tabs>
                <w:tab w:val="left" w:pos="0"/>
              </w:tabs>
              <w:spacing w:after="0" w:line="240" w:lineRule="auto"/>
              <w:jc w:val="left"/>
              <w:rPr>
                <w:rFonts w:ascii="Times New Roman" w:eastAsia="Times New Roman" w:hAnsi="Times New Roman" w:cs="Times New Roman"/>
              </w:rPr>
            </w:pPr>
            <w:r w:rsidRPr="00CB623E">
              <w:rPr>
                <w:rFonts w:ascii="Times New Roman" w:eastAsia="Times New Roman" w:hAnsi="Times New Roman" w:cs="Times New Roman"/>
              </w:rPr>
              <w:t>Recarga de Botijão o de Gás Liquefeito de Petróleo (GLP) – Chapa de aço, tipo gás propano – butano, botijão com capacidade de 13kg.</w:t>
            </w:r>
          </w:p>
        </w:tc>
        <w:tc>
          <w:tcPr>
            <w:tcW w:w="758" w:type="dxa"/>
            <w:tcBorders>
              <w:top w:val="single" w:sz="4" w:space="0" w:color="auto"/>
              <w:left w:val="single" w:sz="4" w:space="0" w:color="auto"/>
              <w:bottom w:val="single" w:sz="4" w:space="0" w:color="auto"/>
              <w:right w:val="single" w:sz="4" w:space="0" w:color="auto"/>
            </w:tcBorders>
            <w:noWrap/>
            <w:vAlign w:val="center"/>
            <w:hideMark/>
          </w:tcPr>
          <w:p w14:paraId="38B94393" w14:textId="77777777" w:rsidR="00F36DEA" w:rsidRPr="00CB623E" w:rsidRDefault="00F36DEA" w:rsidP="0006447A">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 Unid.</w:t>
            </w:r>
          </w:p>
        </w:tc>
        <w:tc>
          <w:tcPr>
            <w:tcW w:w="1628" w:type="dxa"/>
            <w:tcBorders>
              <w:top w:val="single" w:sz="4" w:space="0" w:color="auto"/>
              <w:left w:val="single" w:sz="4" w:space="0" w:color="auto"/>
              <w:bottom w:val="single" w:sz="4" w:space="0" w:color="auto"/>
              <w:right w:val="single" w:sz="4" w:space="0" w:color="auto"/>
            </w:tcBorders>
            <w:noWrap/>
            <w:vAlign w:val="center"/>
            <w:hideMark/>
          </w:tcPr>
          <w:p w14:paraId="366220CA" w14:textId="77777777" w:rsidR="00F36DEA" w:rsidRPr="00CB623E" w:rsidRDefault="00F36DEA" w:rsidP="0006447A">
            <w:pPr>
              <w:tabs>
                <w:tab w:val="left" w:pos="0"/>
              </w:tabs>
              <w:spacing w:after="0" w:line="240" w:lineRule="auto"/>
              <w:jc w:val="center"/>
              <w:rPr>
                <w:rFonts w:ascii="Times New Roman" w:eastAsia="Times New Roman" w:hAnsi="Times New Roman" w:cs="Times New Roman"/>
              </w:rPr>
            </w:pPr>
            <w:r w:rsidRPr="00CB623E">
              <w:rPr>
                <w:rFonts w:ascii="Times New Roman" w:eastAsia="Times New Roman" w:hAnsi="Times New Roman" w:cs="Times New Roman"/>
              </w:rPr>
              <w:t>22.066</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6D90BCAC" w14:textId="77777777" w:rsidR="00F36DEA" w:rsidRPr="00CB623E" w:rsidRDefault="00F36DEA" w:rsidP="0006447A">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1.248</w:t>
            </w:r>
          </w:p>
        </w:tc>
        <w:tc>
          <w:tcPr>
            <w:tcW w:w="1014" w:type="dxa"/>
            <w:tcBorders>
              <w:top w:val="single" w:sz="4" w:space="0" w:color="auto"/>
              <w:left w:val="single" w:sz="4" w:space="0" w:color="auto"/>
              <w:bottom w:val="single" w:sz="4" w:space="0" w:color="auto"/>
              <w:right w:val="single" w:sz="4" w:space="0" w:color="auto"/>
            </w:tcBorders>
            <w:vAlign w:val="center"/>
          </w:tcPr>
          <w:p w14:paraId="64A303C6" w14:textId="77777777" w:rsidR="00F36DEA" w:rsidRPr="00CB623E" w:rsidRDefault="00F36DEA" w:rsidP="0006447A">
            <w:pPr>
              <w:tabs>
                <w:tab w:val="left" w:pos="0"/>
              </w:tabs>
              <w:spacing w:after="0" w:line="360" w:lineRule="auto"/>
              <w:jc w:val="center"/>
              <w:rPr>
                <w:rFonts w:ascii="Times New Roman" w:eastAsia="Times New Roman" w:hAnsi="Times New Roman" w:cs="Times New Roman"/>
              </w:rPr>
            </w:pPr>
            <w:r w:rsidRPr="00CB623E">
              <w:rPr>
                <w:rFonts w:ascii="Times New Roman" w:eastAsia="Times New Roman" w:hAnsi="Times New Roman" w:cs="Times New Roman"/>
              </w:rPr>
              <w:t>23.314</w:t>
            </w:r>
          </w:p>
        </w:tc>
      </w:tr>
    </w:tbl>
    <w:p w14:paraId="08569290" w14:textId="77777777" w:rsidR="00AB7C32" w:rsidRPr="00CB623E" w:rsidRDefault="00AB7C32" w:rsidP="009A7B17">
      <w:pPr>
        <w:tabs>
          <w:tab w:val="left" w:pos="0"/>
        </w:tabs>
        <w:spacing w:after="0" w:line="360" w:lineRule="auto"/>
        <w:jc w:val="center"/>
        <w:rPr>
          <w:rFonts w:ascii="Times New Roman" w:eastAsia="Times New Roman" w:hAnsi="Times New Roman" w:cs="Times New Roman"/>
          <w:b/>
          <w:sz w:val="24"/>
          <w:szCs w:val="24"/>
          <w:lang w:eastAsia="en-US"/>
        </w:rPr>
      </w:pPr>
    </w:p>
    <w:p w14:paraId="0B30D6E1" w14:textId="77777777"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lastRenderedPageBreak/>
        <w:t>O(s) serviço(s) desta contratação são caracterizados como de natureza comum, não se enquadrando como sendo de bem de luxo, conforme disposto no Art. 176 do Decreto Municipal nº 3635, de 12 de maio de 2023;</w:t>
      </w:r>
    </w:p>
    <w:p w14:paraId="6BB01BA6" w14:textId="389B0595"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O </w:t>
      </w:r>
      <w:r w:rsidRPr="00CB623E">
        <w:rPr>
          <w:rFonts w:ascii="Times New Roman" w:hAnsi="Times New Roman" w:cs="Times New Roman"/>
          <w:b/>
          <w:sz w:val="24"/>
          <w:szCs w:val="24"/>
          <w:lang w:eastAsia="en-US"/>
        </w:rPr>
        <w:t>prazo de vigência da contratação é de 12 (doze) meses</w:t>
      </w:r>
      <w:r w:rsidRPr="00CB623E">
        <w:rPr>
          <w:rFonts w:ascii="Times New Roman" w:hAnsi="Times New Roman" w:cs="Times New Roman"/>
          <w:sz w:val="24"/>
          <w:szCs w:val="24"/>
          <w:lang w:eastAsia="en-US"/>
        </w:rPr>
        <w:t>, contados a partir da assinatura do contrato, na forma do artigo 105</w:t>
      </w:r>
      <w:r w:rsidR="000D019C" w:rsidRPr="00CB623E">
        <w:rPr>
          <w:rFonts w:ascii="Times New Roman" w:hAnsi="Times New Roman" w:cs="Times New Roman"/>
          <w:sz w:val="24"/>
          <w:szCs w:val="24"/>
          <w:lang w:eastAsia="en-US"/>
        </w:rPr>
        <w:t xml:space="preserve"> a 107</w:t>
      </w:r>
      <w:r w:rsidRPr="00CB623E">
        <w:rPr>
          <w:rFonts w:ascii="Times New Roman" w:hAnsi="Times New Roman" w:cs="Times New Roman"/>
          <w:sz w:val="24"/>
          <w:szCs w:val="24"/>
          <w:lang w:eastAsia="en-US"/>
        </w:rPr>
        <w:t xml:space="preserve"> da Lei n° 14.133, de 2021;</w:t>
      </w:r>
    </w:p>
    <w:p w14:paraId="5E21AC0F" w14:textId="77777777"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contrato ou outro instrumento hábil que o substitua oferecerá maior detalhamento das regras que serão aplicadas em relação a vigência de contratação.</w:t>
      </w:r>
    </w:p>
    <w:p w14:paraId="4CD2A5EC" w14:textId="77777777" w:rsidR="000011CD" w:rsidRPr="00CB623E" w:rsidRDefault="000011CD" w:rsidP="009A7B17">
      <w:pPr>
        <w:numPr>
          <w:ilvl w:val="1"/>
          <w:numId w:val="6"/>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Os quantitativos ora apresentados suprirão as necessidades das seguintes unidades:</w:t>
      </w:r>
    </w:p>
    <w:p w14:paraId="14A939B5" w14:textId="77777777" w:rsidR="000011CD" w:rsidRPr="00CB623E" w:rsidRDefault="000011CD" w:rsidP="009A7B17">
      <w:pPr>
        <w:tabs>
          <w:tab w:val="left" w:pos="0"/>
        </w:tabs>
        <w:spacing w:after="0" w:line="240" w:lineRule="auto"/>
        <w:contextualSpacing/>
        <w:rPr>
          <w:rFonts w:ascii="Times New Roman" w:hAnsi="Times New Roman" w:cs="Times New Roman"/>
          <w:b/>
          <w:color w:val="000000"/>
          <w:sz w:val="24"/>
          <w:szCs w:val="24"/>
          <w:lang w:eastAsia="en-US"/>
        </w:rPr>
      </w:pPr>
    </w:p>
    <w:p w14:paraId="5033BF1E" w14:textId="339BC33A" w:rsidR="008C0496" w:rsidRPr="00CB623E" w:rsidRDefault="008C0496" w:rsidP="00B95D2B">
      <w:pPr>
        <w:pStyle w:val="PargrafodaLista"/>
        <w:numPr>
          <w:ilvl w:val="0"/>
          <w:numId w:val="49"/>
        </w:numPr>
        <w:tabs>
          <w:tab w:val="left" w:pos="0"/>
          <w:tab w:val="left" w:pos="284"/>
        </w:tabs>
        <w:spacing w:after="0" w:line="240" w:lineRule="auto"/>
        <w:ind w:left="0" w:firstLine="0"/>
        <w:rPr>
          <w:rFonts w:ascii="Times New Roman" w:hAnsi="Times New Roman" w:cs="Times New Roman"/>
          <w:b/>
          <w:color w:val="000000"/>
          <w:sz w:val="24"/>
          <w:szCs w:val="24"/>
          <w:lang w:eastAsia="en-US"/>
        </w:rPr>
      </w:pPr>
      <w:r w:rsidRPr="00CB623E">
        <w:rPr>
          <w:rFonts w:ascii="Times New Roman" w:hAnsi="Times New Roman" w:cs="Times New Roman"/>
          <w:b/>
          <w:color w:val="000000"/>
          <w:sz w:val="24"/>
          <w:szCs w:val="24"/>
          <w:lang w:eastAsia="en-US"/>
        </w:rPr>
        <w:t>SECRETARIA MUNICIPAL DE EDUCAÇÃO</w:t>
      </w:r>
    </w:p>
    <w:tbl>
      <w:tblPr>
        <w:tblW w:w="9356" w:type="dxa"/>
        <w:jc w:val="center"/>
        <w:tblCellMar>
          <w:left w:w="70" w:type="dxa"/>
          <w:right w:w="70" w:type="dxa"/>
        </w:tblCellMar>
        <w:tblLook w:val="04A0" w:firstRow="1" w:lastRow="0" w:firstColumn="1" w:lastColumn="0" w:noHBand="0" w:noVBand="1"/>
      </w:tblPr>
      <w:tblGrid>
        <w:gridCol w:w="642"/>
        <w:gridCol w:w="4340"/>
        <w:gridCol w:w="4374"/>
      </w:tblGrid>
      <w:tr w:rsidR="00AB7C32" w:rsidRPr="00CB623E" w14:paraId="62604982" w14:textId="77777777" w:rsidTr="00B95D2B">
        <w:trPr>
          <w:trHeight w:val="28"/>
          <w:jc w:val="center"/>
        </w:trPr>
        <w:tc>
          <w:tcPr>
            <w:tcW w:w="642"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109C4A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Nº</w:t>
            </w:r>
          </w:p>
        </w:tc>
        <w:tc>
          <w:tcPr>
            <w:tcW w:w="4340" w:type="dxa"/>
            <w:tcBorders>
              <w:top w:val="single" w:sz="4" w:space="0" w:color="auto"/>
              <w:left w:val="nil"/>
              <w:bottom w:val="single" w:sz="4" w:space="0" w:color="auto"/>
              <w:right w:val="single" w:sz="4" w:space="0" w:color="auto"/>
            </w:tcBorders>
            <w:shd w:val="clear" w:color="000000" w:fill="B8CCE4"/>
            <w:noWrap/>
            <w:vAlign w:val="center"/>
            <w:hideMark/>
          </w:tcPr>
          <w:p w14:paraId="6ECB2E9C"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UNIDADE ESCOLAR</w:t>
            </w:r>
          </w:p>
        </w:tc>
        <w:tc>
          <w:tcPr>
            <w:tcW w:w="4374" w:type="dxa"/>
            <w:tcBorders>
              <w:top w:val="single" w:sz="4" w:space="0" w:color="auto"/>
              <w:left w:val="nil"/>
              <w:bottom w:val="single" w:sz="4" w:space="0" w:color="auto"/>
              <w:right w:val="single" w:sz="4" w:space="0" w:color="auto"/>
            </w:tcBorders>
            <w:shd w:val="clear" w:color="000000" w:fill="B8CCE4"/>
            <w:noWrap/>
            <w:vAlign w:val="center"/>
            <w:hideMark/>
          </w:tcPr>
          <w:p w14:paraId="03C809F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ENDEREÇO</w:t>
            </w:r>
          </w:p>
        </w:tc>
      </w:tr>
      <w:tr w:rsidR="00AB7C32" w:rsidRPr="00CB623E" w14:paraId="4F7156F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22F0E82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w:t>
            </w:r>
          </w:p>
        </w:tc>
        <w:tc>
          <w:tcPr>
            <w:tcW w:w="4340" w:type="dxa"/>
            <w:tcBorders>
              <w:top w:val="nil"/>
              <w:left w:val="nil"/>
              <w:bottom w:val="single" w:sz="4" w:space="0" w:color="auto"/>
              <w:right w:val="single" w:sz="4" w:space="0" w:color="auto"/>
            </w:tcBorders>
            <w:vAlign w:val="center"/>
            <w:hideMark/>
          </w:tcPr>
          <w:p w14:paraId="0F06F78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Argemiro Ferreira Mestre Calombo</w:t>
            </w:r>
          </w:p>
        </w:tc>
        <w:tc>
          <w:tcPr>
            <w:tcW w:w="4374" w:type="dxa"/>
            <w:tcBorders>
              <w:top w:val="nil"/>
              <w:left w:val="nil"/>
              <w:bottom w:val="single" w:sz="4" w:space="0" w:color="auto"/>
              <w:right w:val="single" w:sz="4" w:space="0" w:color="auto"/>
            </w:tcBorders>
            <w:vAlign w:val="center"/>
            <w:hideMark/>
          </w:tcPr>
          <w:p w14:paraId="195314A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Conde de Itaguaí, nº 25 – Pq. Imperador</w:t>
            </w:r>
          </w:p>
        </w:tc>
      </w:tr>
      <w:tr w:rsidR="00AB7C32" w:rsidRPr="00CB623E" w14:paraId="49181BF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4A21752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w:t>
            </w:r>
          </w:p>
        </w:tc>
        <w:tc>
          <w:tcPr>
            <w:tcW w:w="4340" w:type="dxa"/>
            <w:tcBorders>
              <w:top w:val="nil"/>
              <w:left w:val="nil"/>
              <w:bottom w:val="single" w:sz="4" w:space="0" w:color="auto"/>
              <w:right w:val="single" w:sz="4" w:space="0" w:color="auto"/>
            </w:tcBorders>
            <w:vAlign w:val="center"/>
            <w:hideMark/>
          </w:tcPr>
          <w:p w14:paraId="009840F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Barão de Iriri</w:t>
            </w:r>
          </w:p>
        </w:tc>
        <w:tc>
          <w:tcPr>
            <w:tcW w:w="4374" w:type="dxa"/>
            <w:tcBorders>
              <w:top w:val="nil"/>
              <w:left w:val="nil"/>
              <w:bottom w:val="single" w:sz="4" w:space="0" w:color="auto"/>
              <w:right w:val="single" w:sz="4" w:space="0" w:color="auto"/>
            </w:tcBorders>
            <w:vAlign w:val="center"/>
            <w:hideMark/>
          </w:tcPr>
          <w:p w14:paraId="6C004D5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Urucumirim, Lt. 25 Qd. E - Barão do Iriri</w:t>
            </w:r>
          </w:p>
        </w:tc>
      </w:tr>
      <w:tr w:rsidR="00AB7C32" w:rsidRPr="00CB623E" w14:paraId="3BE8019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3CF5C7E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w:t>
            </w:r>
          </w:p>
        </w:tc>
        <w:tc>
          <w:tcPr>
            <w:tcW w:w="4340" w:type="dxa"/>
            <w:tcBorders>
              <w:top w:val="nil"/>
              <w:left w:val="nil"/>
              <w:bottom w:val="single" w:sz="4" w:space="0" w:color="auto"/>
              <w:right w:val="single" w:sz="4" w:space="0" w:color="auto"/>
            </w:tcBorders>
            <w:vAlign w:val="center"/>
            <w:hideMark/>
          </w:tcPr>
          <w:p w14:paraId="3C035F8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Comendador Délio Pereira Sampaio</w:t>
            </w:r>
          </w:p>
        </w:tc>
        <w:tc>
          <w:tcPr>
            <w:tcW w:w="4374" w:type="dxa"/>
            <w:tcBorders>
              <w:top w:val="nil"/>
              <w:left w:val="nil"/>
              <w:bottom w:val="single" w:sz="4" w:space="0" w:color="auto"/>
              <w:right w:val="single" w:sz="4" w:space="0" w:color="auto"/>
            </w:tcBorders>
            <w:vAlign w:val="center"/>
            <w:hideMark/>
          </w:tcPr>
          <w:p w14:paraId="6873CF9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do Contorno s/n° Barbuda – Magé</w:t>
            </w:r>
          </w:p>
        </w:tc>
      </w:tr>
      <w:tr w:rsidR="00AB7C32" w:rsidRPr="00CB623E" w14:paraId="4AB2D17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4E91550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w:t>
            </w:r>
          </w:p>
        </w:tc>
        <w:tc>
          <w:tcPr>
            <w:tcW w:w="4340" w:type="dxa"/>
            <w:tcBorders>
              <w:top w:val="nil"/>
              <w:left w:val="nil"/>
              <w:bottom w:val="single" w:sz="4" w:space="0" w:color="auto"/>
              <w:right w:val="single" w:sz="4" w:space="0" w:color="auto"/>
            </w:tcBorders>
            <w:vAlign w:val="center"/>
            <w:hideMark/>
          </w:tcPr>
          <w:p w14:paraId="38777AE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Desembargador Oswaldo Portella</w:t>
            </w:r>
          </w:p>
        </w:tc>
        <w:tc>
          <w:tcPr>
            <w:tcW w:w="4374" w:type="dxa"/>
            <w:tcBorders>
              <w:top w:val="nil"/>
              <w:left w:val="nil"/>
              <w:bottom w:val="single" w:sz="4" w:space="0" w:color="auto"/>
              <w:right w:val="single" w:sz="4" w:space="0" w:color="auto"/>
            </w:tcBorders>
            <w:vAlign w:val="center"/>
            <w:hideMark/>
          </w:tcPr>
          <w:p w14:paraId="5AB1F05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Idalina Monteiro, nº 65 - Centro _ Magé</w:t>
            </w:r>
          </w:p>
        </w:tc>
      </w:tr>
      <w:tr w:rsidR="00AB7C32" w:rsidRPr="00CB623E" w14:paraId="0CCC30D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491B900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w:t>
            </w:r>
          </w:p>
        </w:tc>
        <w:tc>
          <w:tcPr>
            <w:tcW w:w="4340" w:type="dxa"/>
            <w:tcBorders>
              <w:top w:val="nil"/>
              <w:left w:val="nil"/>
              <w:bottom w:val="single" w:sz="4" w:space="0" w:color="auto"/>
              <w:right w:val="single" w:sz="4" w:space="0" w:color="auto"/>
            </w:tcBorders>
            <w:vAlign w:val="center"/>
            <w:hideMark/>
          </w:tcPr>
          <w:p w14:paraId="41718B2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Francisco Rondinelli</w:t>
            </w:r>
          </w:p>
        </w:tc>
        <w:tc>
          <w:tcPr>
            <w:tcW w:w="4374" w:type="dxa"/>
            <w:tcBorders>
              <w:top w:val="nil"/>
              <w:left w:val="nil"/>
              <w:bottom w:val="single" w:sz="4" w:space="0" w:color="auto"/>
              <w:right w:val="single" w:sz="4" w:space="0" w:color="auto"/>
            </w:tcBorders>
            <w:vAlign w:val="center"/>
            <w:hideMark/>
          </w:tcPr>
          <w:p w14:paraId="3BF32D0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Cabo Frio, nº 135 - Jardim Esmeralda - Magé</w:t>
            </w:r>
          </w:p>
        </w:tc>
      </w:tr>
      <w:tr w:rsidR="00AB7C32" w:rsidRPr="00CB623E" w14:paraId="0B3EBCC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07AA11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w:t>
            </w:r>
          </w:p>
        </w:tc>
        <w:tc>
          <w:tcPr>
            <w:tcW w:w="4340" w:type="dxa"/>
            <w:tcBorders>
              <w:top w:val="nil"/>
              <w:left w:val="nil"/>
              <w:bottom w:val="single" w:sz="4" w:space="0" w:color="auto"/>
              <w:right w:val="single" w:sz="4" w:space="0" w:color="auto"/>
            </w:tcBorders>
            <w:vAlign w:val="center"/>
            <w:hideMark/>
          </w:tcPr>
          <w:p w14:paraId="4B83BCC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Radamés Marzullo</w:t>
            </w:r>
          </w:p>
        </w:tc>
        <w:tc>
          <w:tcPr>
            <w:tcW w:w="4374" w:type="dxa"/>
            <w:tcBorders>
              <w:top w:val="nil"/>
              <w:left w:val="nil"/>
              <w:bottom w:val="single" w:sz="4" w:space="0" w:color="auto"/>
              <w:right w:val="single" w:sz="4" w:space="0" w:color="auto"/>
            </w:tcBorders>
            <w:vAlign w:val="center"/>
            <w:hideMark/>
          </w:tcPr>
          <w:p w14:paraId="17EE506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das Paineiras, nº 546 - Vila Ínca – Magé</w:t>
            </w:r>
          </w:p>
        </w:tc>
      </w:tr>
      <w:tr w:rsidR="00AB7C32" w:rsidRPr="00CB623E" w14:paraId="2AE2F9CC"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00DCB32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w:t>
            </w:r>
          </w:p>
        </w:tc>
        <w:tc>
          <w:tcPr>
            <w:tcW w:w="4340" w:type="dxa"/>
            <w:tcBorders>
              <w:top w:val="nil"/>
              <w:left w:val="nil"/>
              <w:bottom w:val="single" w:sz="4" w:space="0" w:color="auto"/>
              <w:right w:val="single" w:sz="4" w:space="0" w:color="auto"/>
            </w:tcBorders>
            <w:vAlign w:val="center"/>
            <w:hideMark/>
          </w:tcPr>
          <w:p w14:paraId="2DD0992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Marechal Humberto de A. C. Branco</w:t>
            </w:r>
          </w:p>
        </w:tc>
        <w:tc>
          <w:tcPr>
            <w:tcW w:w="4374" w:type="dxa"/>
            <w:tcBorders>
              <w:top w:val="nil"/>
              <w:left w:val="nil"/>
              <w:bottom w:val="single" w:sz="4" w:space="0" w:color="auto"/>
              <w:right w:val="single" w:sz="4" w:space="0" w:color="auto"/>
            </w:tcBorders>
            <w:vAlign w:val="center"/>
            <w:hideMark/>
          </w:tcPr>
          <w:p w14:paraId="368F844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Cel. Ulisses Rebuá, s/nº -Maringá- Magé</w:t>
            </w:r>
          </w:p>
        </w:tc>
      </w:tr>
      <w:tr w:rsidR="00AB7C32" w:rsidRPr="00CB623E" w14:paraId="11B2447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6095DDC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w:t>
            </w:r>
          </w:p>
        </w:tc>
        <w:tc>
          <w:tcPr>
            <w:tcW w:w="4340" w:type="dxa"/>
            <w:tcBorders>
              <w:top w:val="nil"/>
              <w:left w:val="nil"/>
              <w:bottom w:val="single" w:sz="4" w:space="0" w:color="auto"/>
              <w:right w:val="single" w:sz="4" w:space="0" w:color="auto"/>
            </w:tcBorders>
            <w:vAlign w:val="center"/>
            <w:hideMark/>
          </w:tcPr>
          <w:p w14:paraId="706AE16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Maria Clara Machado</w:t>
            </w:r>
          </w:p>
        </w:tc>
        <w:tc>
          <w:tcPr>
            <w:tcW w:w="4374" w:type="dxa"/>
            <w:tcBorders>
              <w:top w:val="nil"/>
              <w:left w:val="nil"/>
              <w:bottom w:val="single" w:sz="4" w:space="0" w:color="auto"/>
              <w:right w:val="single" w:sz="4" w:space="0" w:color="auto"/>
            </w:tcBorders>
            <w:vAlign w:val="center"/>
            <w:hideMark/>
          </w:tcPr>
          <w:p w14:paraId="4F55334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Cel. Macieira – Centro – Magé</w:t>
            </w:r>
          </w:p>
        </w:tc>
      </w:tr>
      <w:tr w:rsidR="00AB7C32" w:rsidRPr="00CB623E" w14:paraId="6993A78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7EF919C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w:t>
            </w:r>
          </w:p>
        </w:tc>
        <w:tc>
          <w:tcPr>
            <w:tcW w:w="4340" w:type="dxa"/>
            <w:tcBorders>
              <w:top w:val="nil"/>
              <w:left w:val="nil"/>
              <w:bottom w:val="single" w:sz="4" w:space="0" w:color="auto"/>
              <w:right w:val="single" w:sz="4" w:space="0" w:color="auto"/>
            </w:tcBorders>
            <w:vAlign w:val="center"/>
            <w:hideMark/>
          </w:tcPr>
          <w:p w14:paraId="355F39B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Noêmia Teixeira dos Santos</w:t>
            </w:r>
          </w:p>
        </w:tc>
        <w:tc>
          <w:tcPr>
            <w:tcW w:w="4374" w:type="dxa"/>
            <w:tcBorders>
              <w:top w:val="nil"/>
              <w:left w:val="nil"/>
              <w:bottom w:val="single" w:sz="4" w:space="0" w:color="auto"/>
              <w:right w:val="single" w:sz="4" w:space="0" w:color="auto"/>
            </w:tcBorders>
            <w:vAlign w:val="center"/>
            <w:hideMark/>
          </w:tcPr>
          <w:p w14:paraId="213516F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Rotary Club, s/nº - Centro - Magé</w:t>
            </w:r>
          </w:p>
        </w:tc>
      </w:tr>
      <w:tr w:rsidR="00AB7C32" w:rsidRPr="00CB623E" w14:paraId="54493B8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608E4A2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w:t>
            </w:r>
          </w:p>
        </w:tc>
        <w:tc>
          <w:tcPr>
            <w:tcW w:w="4340" w:type="dxa"/>
            <w:tcBorders>
              <w:top w:val="nil"/>
              <w:left w:val="nil"/>
              <w:bottom w:val="single" w:sz="4" w:space="0" w:color="auto"/>
              <w:right w:val="single" w:sz="4" w:space="0" w:color="auto"/>
            </w:tcBorders>
            <w:vAlign w:val="center"/>
            <w:hideMark/>
          </w:tcPr>
          <w:p w14:paraId="4DC03DF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Nova Sertão</w:t>
            </w:r>
          </w:p>
        </w:tc>
        <w:tc>
          <w:tcPr>
            <w:tcW w:w="4374" w:type="dxa"/>
            <w:tcBorders>
              <w:top w:val="nil"/>
              <w:left w:val="nil"/>
              <w:bottom w:val="single" w:sz="4" w:space="0" w:color="auto"/>
              <w:right w:val="single" w:sz="4" w:space="0" w:color="auto"/>
            </w:tcBorders>
            <w:vAlign w:val="center"/>
            <w:hideMark/>
          </w:tcPr>
          <w:p w14:paraId="63153D1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A, s/nº - Citrolândia - Magé</w:t>
            </w:r>
          </w:p>
        </w:tc>
      </w:tr>
      <w:tr w:rsidR="00AB7C32" w:rsidRPr="00CB623E" w14:paraId="021E672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87CFB3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w:t>
            </w:r>
          </w:p>
        </w:tc>
        <w:tc>
          <w:tcPr>
            <w:tcW w:w="4340" w:type="dxa"/>
            <w:tcBorders>
              <w:top w:val="nil"/>
              <w:left w:val="nil"/>
              <w:bottom w:val="single" w:sz="4" w:space="0" w:color="auto"/>
              <w:right w:val="single" w:sz="4" w:space="0" w:color="auto"/>
            </w:tcBorders>
            <w:vAlign w:val="center"/>
            <w:hideMark/>
          </w:tcPr>
          <w:p w14:paraId="0DBE32A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Nova Taquaral</w:t>
            </w:r>
          </w:p>
        </w:tc>
        <w:tc>
          <w:tcPr>
            <w:tcW w:w="4374" w:type="dxa"/>
            <w:tcBorders>
              <w:top w:val="nil"/>
              <w:left w:val="nil"/>
              <w:bottom w:val="single" w:sz="4" w:space="0" w:color="auto"/>
              <w:right w:val="single" w:sz="4" w:space="0" w:color="auto"/>
            </w:tcBorders>
            <w:vAlign w:val="center"/>
            <w:hideMark/>
          </w:tcPr>
          <w:p w14:paraId="54AA7AC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Jardim Santo Antônio n° 582- Taquaral</w:t>
            </w:r>
          </w:p>
        </w:tc>
      </w:tr>
      <w:tr w:rsidR="00AB7C32" w:rsidRPr="00CB623E" w14:paraId="504C037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63684FE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12</w:t>
            </w:r>
          </w:p>
        </w:tc>
        <w:tc>
          <w:tcPr>
            <w:tcW w:w="4340" w:type="dxa"/>
            <w:tcBorders>
              <w:top w:val="nil"/>
              <w:left w:val="nil"/>
              <w:bottom w:val="single" w:sz="4" w:space="0" w:color="auto"/>
              <w:right w:val="single" w:sz="4" w:space="0" w:color="auto"/>
            </w:tcBorders>
            <w:vAlign w:val="center"/>
            <w:hideMark/>
          </w:tcPr>
          <w:p w14:paraId="33CD6F9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Olga Repani</w:t>
            </w:r>
          </w:p>
        </w:tc>
        <w:tc>
          <w:tcPr>
            <w:tcW w:w="4374" w:type="dxa"/>
            <w:tcBorders>
              <w:top w:val="nil"/>
              <w:left w:val="nil"/>
              <w:bottom w:val="single" w:sz="4" w:space="0" w:color="auto"/>
              <w:right w:val="single" w:sz="4" w:space="0" w:color="auto"/>
            </w:tcBorders>
            <w:vAlign w:val="center"/>
            <w:hideMark/>
          </w:tcPr>
          <w:p w14:paraId="6B3EC03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Diron Torres Paiva, s/n° - BNH – Magé</w:t>
            </w:r>
          </w:p>
        </w:tc>
      </w:tr>
      <w:tr w:rsidR="00AB7C32" w:rsidRPr="00CB623E" w14:paraId="2C57EAA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0F2DAB53"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13</w:t>
            </w:r>
          </w:p>
        </w:tc>
        <w:tc>
          <w:tcPr>
            <w:tcW w:w="4340" w:type="dxa"/>
            <w:tcBorders>
              <w:top w:val="nil"/>
              <w:left w:val="nil"/>
              <w:bottom w:val="single" w:sz="4" w:space="0" w:color="auto"/>
              <w:right w:val="single" w:sz="4" w:space="0" w:color="auto"/>
            </w:tcBorders>
            <w:vAlign w:val="center"/>
            <w:hideMark/>
          </w:tcPr>
          <w:p w14:paraId="6612406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Parque Boneville</w:t>
            </w:r>
          </w:p>
        </w:tc>
        <w:tc>
          <w:tcPr>
            <w:tcW w:w="4374" w:type="dxa"/>
            <w:tcBorders>
              <w:top w:val="nil"/>
              <w:left w:val="nil"/>
              <w:bottom w:val="single" w:sz="4" w:space="0" w:color="auto"/>
              <w:right w:val="single" w:sz="4" w:space="0" w:color="auto"/>
            </w:tcBorders>
            <w:vAlign w:val="center"/>
            <w:hideMark/>
          </w:tcPr>
          <w:p w14:paraId="653CB00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Getúlio Vargas s/nº - Parque Boneville Magé</w:t>
            </w:r>
          </w:p>
        </w:tc>
      </w:tr>
      <w:tr w:rsidR="00AB7C32" w:rsidRPr="00CB623E" w14:paraId="55D775B0"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vAlign w:val="center"/>
            <w:hideMark/>
          </w:tcPr>
          <w:p w14:paraId="43D23E1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14</w:t>
            </w:r>
          </w:p>
        </w:tc>
        <w:tc>
          <w:tcPr>
            <w:tcW w:w="4340" w:type="dxa"/>
            <w:tcBorders>
              <w:top w:val="nil"/>
              <w:left w:val="nil"/>
              <w:bottom w:val="single" w:sz="4" w:space="0" w:color="auto"/>
              <w:right w:val="single" w:sz="4" w:space="0" w:color="auto"/>
            </w:tcBorders>
            <w:vAlign w:val="center"/>
            <w:hideMark/>
          </w:tcPr>
          <w:p w14:paraId="73A408D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Prefeito Magid Repani</w:t>
            </w:r>
          </w:p>
        </w:tc>
        <w:tc>
          <w:tcPr>
            <w:tcW w:w="4374" w:type="dxa"/>
            <w:tcBorders>
              <w:top w:val="nil"/>
              <w:left w:val="nil"/>
              <w:bottom w:val="single" w:sz="4" w:space="0" w:color="auto"/>
              <w:right w:val="single" w:sz="4" w:space="0" w:color="auto"/>
            </w:tcBorders>
            <w:vAlign w:val="center"/>
            <w:hideMark/>
          </w:tcPr>
          <w:p w14:paraId="76F4D55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66 n° 369 – saco – Magé</w:t>
            </w:r>
          </w:p>
        </w:tc>
      </w:tr>
      <w:tr w:rsidR="00AB7C32" w:rsidRPr="00CB623E" w14:paraId="67DA2E2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45CAC8C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15</w:t>
            </w:r>
          </w:p>
        </w:tc>
        <w:tc>
          <w:tcPr>
            <w:tcW w:w="4340" w:type="dxa"/>
            <w:tcBorders>
              <w:top w:val="nil"/>
              <w:left w:val="nil"/>
              <w:bottom w:val="single" w:sz="4" w:space="0" w:color="auto"/>
              <w:right w:val="single" w:sz="4" w:space="0" w:color="auto"/>
            </w:tcBorders>
            <w:vAlign w:val="center"/>
            <w:hideMark/>
          </w:tcPr>
          <w:p w14:paraId="0F85BDC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Áurea da Costa Ayres</w:t>
            </w:r>
          </w:p>
        </w:tc>
        <w:tc>
          <w:tcPr>
            <w:tcW w:w="4374" w:type="dxa"/>
            <w:tcBorders>
              <w:top w:val="nil"/>
              <w:left w:val="nil"/>
              <w:bottom w:val="single" w:sz="4" w:space="0" w:color="auto"/>
              <w:right w:val="single" w:sz="4" w:space="0" w:color="auto"/>
            </w:tcBorders>
            <w:vAlign w:val="center"/>
            <w:hideMark/>
          </w:tcPr>
          <w:p w14:paraId="18CE77AD" w14:textId="38E55EB4"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w:t>
            </w:r>
            <w:r w:rsidR="00A052F8" w:rsidRPr="00CB623E">
              <w:rPr>
                <w:rFonts w:ascii="Times New Roman" w:eastAsia="Times New Roman" w:hAnsi="Times New Roman" w:cs="Times New Roman"/>
                <w:color w:val="000000"/>
              </w:rPr>
              <w:t>02, n</w:t>
            </w:r>
            <w:r w:rsidRPr="00CB623E">
              <w:rPr>
                <w:rFonts w:ascii="Times New Roman" w:eastAsia="Times New Roman" w:hAnsi="Times New Roman" w:cs="Times New Roman"/>
                <w:color w:val="000000"/>
              </w:rPr>
              <w:t>° 173 – Vila esperança – Magé</w:t>
            </w:r>
          </w:p>
        </w:tc>
      </w:tr>
      <w:tr w:rsidR="00AB7C32" w:rsidRPr="00CB623E" w14:paraId="3D5D0CB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3829E2B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16</w:t>
            </w:r>
          </w:p>
        </w:tc>
        <w:tc>
          <w:tcPr>
            <w:tcW w:w="4340" w:type="dxa"/>
            <w:tcBorders>
              <w:top w:val="nil"/>
              <w:left w:val="nil"/>
              <w:bottom w:val="single" w:sz="4" w:space="0" w:color="auto"/>
              <w:right w:val="single" w:sz="4" w:space="0" w:color="auto"/>
            </w:tcBorders>
            <w:vAlign w:val="center"/>
            <w:hideMark/>
          </w:tcPr>
          <w:p w14:paraId="39EC529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Margarida Nery Portella</w:t>
            </w:r>
          </w:p>
        </w:tc>
        <w:tc>
          <w:tcPr>
            <w:tcW w:w="4374" w:type="dxa"/>
            <w:tcBorders>
              <w:top w:val="nil"/>
              <w:left w:val="nil"/>
              <w:bottom w:val="single" w:sz="4" w:space="0" w:color="auto"/>
              <w:right w:val="single" w:sz="4" w:space="0" w:color="auto"/>
            </w:tcBorders>
            <w:vAlign w:val="center"/>
            <w:hideMark/>
          </w:tcPr>
          <w:p w14:paraId="3A28395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Rio Teresópolis – KM 111 Citrolândia – Magé</w:t>
            </w:r>
          </w:p>
        </w:tc>
      </w:tr>
      <w:tr w:rsidR="00AB7C32" w:rsidRPr="00CB623E" w14:paraId="0C11601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35BECF9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17</w:t>
            </w:r>
          </w:p>
        </w:tc>
        <w:tc>
          <w:tcPr>
            <w:tcW w:w="4340" w:type="dxa"/>
            <w:tcBorders>
              <w:top w:val="nil"/>
              <w:left w:val="nil"/>
              <w:bottom w:val="single" w:sz="4" w:space="0" w:color="auto"/>
              <w:right w:val="single" w:sz="4" w:space="0" w:color="auto"/>
            </w:tcBorders>
            <w:vAlign w:val="center"/>
            <w:hideMark/>
          </w:tcPr>
          <w:p w14:paraId="742F4D7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Darléia da Costa Maia</w:t>
            </w:r>
          </w:p>
        </w:tc>
        <w:tc>
          <w:tcPr>
            <w:tcW w:w="4374" w:type="dxa"/>
            <w:tcBorders>
              <w:top w:val="nil"/>
              <w:left w:val="nil"/>
              <w:bottom w:val="single" w:sz="4" w:space="0" w:color="auto"/>
              <w:right w:val="single" w:sz="4" w:space="0" w:color="auto"/>
            </w:tcBorders>
            <w:vAlign w:val="center"/>
            <w:hideMark/>
          </w:tcPr>
          <w:p w14:paraId="55BAC39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w:t>
            </w:r>
          </w:p>
        </w:tc>
      </w:tr>
      <w:tr w:rsidR="00AB7C32" w:rsidRPr="00CB623E" w14:paraId="3BEE095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1A12DA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18</w:t>
            </w:r>
          </w:p>
        </w:tc>
        <w:tc>
          <w:tcPr>
            <w:tcW w:w="4340" w:type="dxa"/>
            <w:tcBorders>
              <w:top w:val="nil"/>
              <w:left w:val="nil"/>
              <w:bottom w:val="single" w:sz="4" w:space="0" w:color="auto"/>
              <w:right w:val="single" w:sz="4" w:space="0" w:color="auto"/>
            </w:tcBorders>
            <w:vAlign w:val="center"/>
            <w:hideMark/>
          </w:tcPr>
          <w:p w14:paraId="6F610F7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Verônica Maria da Silva Nunes</w:t>
            </w:r>
          </w:p>
        </w:tc>
        <w:tc>
          <w:tcPr>
            <w:tcW w:w="4374" w:type="dxa"/>
            <w:tcBorders>
              <w:top w:val="nil"/>
              <w:left w:val="nil"/>
              <w:bottom w:val="single" w:sz="4" w:space="0" w:color="auto"/>
              <w:right w:val="single" w:sz="4" w:space="0" w:color="auto"/>
            </w:tcBorders>
            <w:vAlign w:val="center"/>
            <w:hideMark/>
          </w:tcPr>
          <w:p w14:paraId="799B6A7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da Piedade s/n° Piedade – Magé</w:t>
            </w:r>
          </w:p>
        </w:tc>
      </w:tr>
      <w:tr w:rsidR="00AB7C32" w:rsidRPr="00CB623E" w14:paraId="1ECF0DAA"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5E8E39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19</w:t>
            </w:r>
          </w:p>
        </w:tc>
        <w:tc>
          <w:tcPr>
            <w:tcW w:w="4340" w:type="dxa"/>
            <w:tcBorders>
              <w:top w:val="nil"/>
              <w:left w:val="nil"/>
              <w:bottom w:val="single" w:sz="4" w:space="0" w:color="auto"/>
              <w:right w:val="single" w:sz="4" w:space="0" w:color="auto"/>
            </w:tcBorders>
            <w:vAlign w:val="center"/>
            <w:hideMark/>
          </w:tcPr>
          <w:p w14:paraId="426FC5F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Municipalizada Prof.ª Luiza Vieira</w:t>
            </w:r>
          </w:p>
        </w:tc>
        <w:tc>
          <w:tcPr>
            <w:tcW w:w="4374" w:type="dxa"/>
            <w:tcBorders>
              <w:top w:val="nil"/>
              <w:left w:val="nil"/>
              <w:bottom w:val="single" w:sz="4" w:space="0" w:color="auto"/>
              <w:right w:val="single" w:sz="4" w:space="0" w:color="auto"/>
            </w:tcBorders>
            <w:vAlign w:val="center"/>
            <w:hideMark/>
          </w:tcPr>
          <w:p w14:paraId="550956D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Adan Blum s/nº - Nova Marília - Magé</w:t>
            </w:r>
          </w:p>
        </w:tc>
      </w:tr>
      <w:tr w:rsidR="00AB7C32" w:rsidRPr="00CB623E" w14:paraId="2B55BB70"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084BEF8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tcBorders>
              <w:top w:val="nil"/>
              <w:left w:val="nil"/>
              <w:bottom w:val="single" w:sz="4" w:space="0" w:color="auto"/>
              <w:right w:val="single" w:sz="4" w:space="0" w:color="auto"/>
            </w:tcBorders>
            <w:vAlign w:val="center"/>
            <w:hideMark/>
          </w:tcPr>
          <w:p w14:paraId="6430CD6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E.M. DR. Walther Moraes de Arruda (antiga)</w:t>
            </w:r>
          </w:p>
        </w:tc>
        <w:tc>
          <w:tcPr>
            <w:tcW w:w="4374" w:type="dxa"/>
            <w:tcBorders>
              <w:top w:val="nil"/>
              <w:left w:val="nil"/>
              <w:bottom w:val="single" w:sz="4" w:space="0" w:color="auto"/>
              <w:right w:val="single" w:sz="4" w:space="0" w:color="auto"/>
            </w:tcBorders>
            <w:vAlign w:val="center"/>
            <w:hideMark/>
          </w:tcPr>
          <w:p w14:paraId="3F45E86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w:t>
            </w:r>
          </w:p>
        </w:tc>
      </w:tr>
      <w:tr w:rsidR="00AB7C32" w:rsidRPr="00CB623E" w14:paraId="1E8D424C"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304930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20</w:t>
            </w:r>
          </w:p>
        </w:tc>
        <w:tc>
          <w:tcPr>
            <w:tcW w:w="4340" w:type="dxa"/>
            <w:tcBorders>
              <w:top w:val="nil"/>
              <w:left w:val="nil"/>
              <w:bottom w:val="single" w:sz="4" w:space="0" w:color="auto"/>
              <w:right w:val="single" w:sz="4" w:space="0" w:color="auto"/>
            </w:tcBorders>
            <w:vAlign w:val="center"/>
            <w:hideMark/>
          </w:tcPr>
          <w:p w14:paraId="3189372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Municipalizada Emílio Gebara</w:t>
            </w:r>
          </w:p>
        </w:tc>
        <w:tc>
          <w:tcPr>
            <w:tcW w:w="4374" w:type="dxa"/>
            <w:tcBorders>
              <w:top w:val="nil"/>
              <w:left w:val="nil"/>
              <w:bottom w:val="single" w:sz="4" w:space="0" w:color="auto"/>
              <w:right w:val="single" w:sz="4" w:space="0" w:color="auto"/>
            </w:tcBorders>
            <w:vAlign w:val="center"/>
            <w:hideMark/>
          </w:tcPr>
          <w:p w14:paraId="7814C0A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Cantagalo, nº 321 - Parque Iriri – Magé</w:t>
            </w:r>
          </w:p>
        </w:tc>
      </w:tr>
      <w:tr w:rsidR="00AB7C32" w:rsidRPr="00CB623E" w14:paraId="6FFA8519"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C350D1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21</w:t>
            </w:r>
          </w:p>
        </w:tc>
        <w:tc>
          <w:tcPr>
            <w:tcW w:w="4340" w:type="dxa"/>
            <w:tcBorders>
              <w:top w:val="nil"/>
              <w:left w:val="nil"/>
              <w:bottom w:val="single" w:sz="4" w:space="0" w:color="auto"/>
              <w:right w:val="single" w:sz="4" w:space="0" w:color="auto"/>
            </w:tcBorders>
            <w:vAlign w:val="center"/>
            <w:hideMark/>
          </w:tcPr>
          <w:p w14:paraId="0A44F18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Municipalizada Marilene Mustrange</w:t>
            </w:r>
          </w:p>
        </w:tc>
        <w:tc>
          <w:tcPr>
            <w:tcW w:w="4374" w:type="dxa"/>
            <w:tcBorders>
              <w:top w:val="nil"/>
              <w:left w:val="nil"/>
              <w:bottom w:val="single" w:sz="4" w:space="0" w:color="auto"/>
              <w:right w:val="single" w:sz="4" w:space="0" w:color="auto"/>
            </w:tcBorders>
            <w:vAlign w:val="center"/>
            <w:hideMark/>
          </w:tcPr>
          <w:p w14:paraId="11F248F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Praça Parque Imperador, s/nº Lagoa – Magé</w:t>
            </w:r>
          </w:p>
        </w:tc>
      </w:tr>
      <w:tr w:rsidR="00AB7C32" w:rsidRPr="00CB623E" w14:paraId="3DB02151"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78D1145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tcBorders>
              <w:top w:val="nil"/>
              <w:left w:val="nil"/>
              <w:bottom w:val="single" w:sz="4" w:space="0" w:color="auto"/>
              <w:right w:val="single" w:sz="4" w:space="0" w:color="auto"/>
            </w:tcBorders>
            <w:vAlign w:val="center"/>
            <w:hideMark/>
          </w:tcPr>
          <w:p w14:paraId="0805CB4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Municipalizada Parque Imperador (antiga)</w:t>
            </w:r>
          </w:p>
        </w:tc>
        <w:tc>
          <w:tcPr>
            <w:tcW w:w="4374" w:type="dxa"/>
            <w:tcBorders>
              <w:top w:val="nil"/>
              <w:left w:val="nil"/>
              <w:bottom w:val="single" w:sz="4" w:space="0" w:color="auto"/>
              <w:right w:val="single" w:sz="4" w:space="0" w:color="auto"/>
            </w:tcBorders>
            <w:vAlign w:val="center"/>
            <w:hideMark/>
          </w:tcPr>
          <w:p w14:paraId="6154713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w:t>
            </w:r>
          </w:p>
        </w:tc>
      </w:tr>
      <w:tr w:rsidR="00AB7C32" w:rsidRPr="00CB623E" w14:paraId="732C2C1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28FAE92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22</w:t>
            </w:r>
          </w:p>
        </w:tc>
        <w:tc>
          <w:tcPr>
            <w:tcW w:w="4340" w:type="dxa"/>
            <w:tcBorders>
              <w:top w:val="nil"/>
              <w:left w:val="nil"/>
              <w:bottom w:val="single" w:sz="4" w:space="0" w:color="auto"/>
              <w:right w:val="single" w:sz="4" w:space="0" w:color="auto"/>
            </w:tcBorders>
            <w:vAlign w:val="center"/>
            <w:hideMark/>
          </w:tcPr>
          <w:p w14:paraId="3CD071D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Jadér Ullmann</w:t>
            </w:r>
          </w:p>
        </w:tc>
        <w:tc>
          <w:tcPr>
            <w:tcW w:w="4374" w:type="dxa"/>
            <w:tcBorders>
              <w:top w:val="nil"/>
              <w:left w:val="nil"/>
              <w:bottom w:val="single" w:sz="4" w:space="0" w:color="auto"/>
              <w:right w:val="single" w:sz="4" w:space="0" w:color="auto"/>
            </w:tcBorders>
            <w:vAlign w:val="center"/>
            <w:hideMark/>
          </w:tcPr>
          <w:p w14:paraId="23ACF13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Roberto Bussinger, n° 211 – Nova Marília</w:t>
            </w:r>
          </w:p>
        </w:tc>
      </w:tr>
      <w:tr w:rsidR="00AB7C32" w:rsidRPr="00CB623E" w14:paraId="65BEA81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00A3FF4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23</w:t>
            </w:r>
          </w:p>
        </w:tc>
        <w:tc>
          <w:tcPr>
            <w:tcW w:w="4340" w:type="dxa"/>
            <w:tcBorders>
              <w:top w:val="nil"/>
              <w:left w:val="nil"/>
              <w:bottom w:val="single" w:sz="4" w:space="0" w:color="auto"/>
              <w:right w:val="single" w:sz="4" w:space="0" w:color="auto"/>
            </w:tcBorders>
            <w:vAlign w:val="center"/>
            <w:hideMark/>
          </w:tcPr>
          <w:p w14:paraId="2E8595D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Com. Délio Pereira Sampaio</w:t>
            </w:r>
          </w:p>
        </w:tc>
        <w:tc>
          <w:tcPr>
            <w:tcW w:w="4374" w:type="dxa"/>
            <w:tcBorders>
              <w:top w:val="nil"/>
              <w:left w:val="nil"/>
              <w:bottom w:val="single" w:sz="4" w:space="0" w:color="auto"/>
              <w:right w:val="single" w:sz="4" w:space="0" w:color="auto"/>
            </w:tcBorders>
            <w:vAlign w:val="center"/>
            <w:hideMark/>
          </w:tcPr>
          <w:p w14:paraId="55D16E4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das Flores n°321 – Barbuda – Magé</w:t>
            </w:r>
          </w:p>
        </w:tc>
      </w:tr>
      <w:tr w:rsidR="00AB7C32" w:rsidRPr="00CB623E" w14:paraId="424F3F4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5E42D43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24</w:t>
            </w:r>
          </w:p>
        </w:tc>
        <w:tc>
          <w:tcPr>
            <w:tcW w:w="4340" w:type="dxa"/>
            <w:tcBorders>
              <w:top w:val="nil"/>
              <w:left w:val="nil"/>
              <w:bottom w:val="single" w:sz="4" w:space="0" w:color="auto"/>
              <w:right w:val="single" w:sz="4" w:space="0" w:color="auto"/>
            </w:tcBorders>
            <w:vAlign w:val="center"/>
            <w:hideMark/>
          </w:tcPr>
          <w:p w14:paraId="44D430B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Noêmia Teixeira dos Santos</w:t>
            </w:r>
          </w:p>
        </w:tc>
        <w:tc>
          <w:tcPr>
            <w:tcW w:w="4374" w:type="dxa"/>
            <w:tcBorders>
              <w:top w:val="nil"/>
              <w:left w:val="nil"/>
              <w:bottom w:val="single" w:sz="4" w:space="0" w:color="auto"/>
              <w:right w:val="single" w:sz="4" w:space="0" w:color="auto"/>
            </w:tcBorders>
            <w:vAlign w:val="center"/>
            <w:hideMark/>
          </w:tcPr>
          <w:p w14:paraId="1B5E14E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Piraí n° 90 – Mundo Novo – Magé</w:t>
            </w:r>
          </w:p>
        </w:tc>
      </w:tr>
      <w:tr w:rsidR="00AB7C32" w:rsidRPr="00CB623E" w14:paraId="4AB0F33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753B3B1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25</w:t>
            </w:r>
          </w:p>
        </w:tc>
        <w:tc>
          <w:tcPr>
            <w:tcW w:w="4340" w:type="dxa"/>
            <w:tcBorders>
              <w:top w:val="nil"/>
              <w:left w:val="nil"/>
              <w:bottom w:val="single" w:sz="4" w:space="0" w:color="auto"/>
              <w:right w:val="single" w:sz="4" w:space="0" w:color="auto"/>
            </w:tcBorders>
            <w:vAlign w:val="center"/>
            <w:hideMark/>
          </w:tcPr>
          <w:p w14:paraId="7C56F05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Nossa Senhora Aparecida</w:t>
            </w:r>
          </w:p>
        </w:tc>
        <w:tc>
          <w:tcPr>
            <w:tcW w:w="4374" w:type="dxa"/>
            <w:tcBorders>
              <w:top w:val="nil"/>
              <w:left w:val="nil"/>
              <w:bottom w:val="single" w:sz="4" w:space="0" w:color="auto"/>
              <w:right w:val="single" w:sz="4" w:space="0" w:color="auto"/>
            </w:tcBorders>
            <w:vAlign w:val="center"/>
            <w:hideMark/>
          </w:tcPr>
          <w:p w14:paraId="2E4E4325" w14:textId="032BC2D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:Senhor do </w:t>
            </w:r>
            <w:r w:rsidR="00A052F8" w:rsidRPr="00CB623E">
              <w:rPr>
                <w:rFonts w:ascii="Times New Roman" w:eastAsia="Times New Roman" w:hAnsi="Times New Roman" w:cs="Times New Roman"/>
                <w:color w:val="000000"/>
              </w:rPr>
              <w:t>Bonfim,</w:t>
            </w:r>
            <w:r w:rsidRPr="00CB623E">
              <w:rPr>
                <w:rFonts w:ascii="Times New Roman" w:eastAsia="Times New Roman" w:hAnsi="Times New Roman" w:cs="Times New Roman"/>
                <w:color w:val="000000"/>
              </w:rPr>
              <w:t xml:space="preserve"> nº 178-Parque Boneville</w:t>
            </w:r>
          </w:p>
        </w:tc>
      </w:tr>
      <w:tr w:rsidR="00AB7C32" w:rsidRPr="00CB623E" w14:paraId="670119CB"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016F230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26</w:t>
            </w:r>
          </w:p>
        </w:tc>
        <w:tc>
          <w:tcPr>
            <w:tcW w:w="4340" w:type="dxa"/>
            <w:tcBorders>
              <w:top w:val="nil"/>
              <w:left w:val="nil"/>
              <w:bottom w:val="single" w:sz="4" w:space="0" w:color="auto"/>
              <w:right w:val="single" w:sz="4" w:space="0" w:color="auto"/>
            </w:tcBorders>
            <w:vAlign w:val="center"/>
            <w:hideMark/>
          </w:tcPr>
          <w:p w14:paraId="1F9F972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Municipalizada Adalberto G. Pinto Ferraz</w:t>
            </w:r>
          </w:p>
        </w:tc>
        <w:tc>
          <w:tcPr>
            <w:tcW w:w="4374" w:type="dxa"/>
            <w:tcBorders>
              <w:top w:val="nil"/>
              <w:left w:val="nil"/>
              <w:bottom w:val="single" w:sz="4" w:space="0" w:color="auto"/>
              <w:right w:val="single" w:sz="4" w:space="0" w:color="auto"/>
            </w:tcBorders>
            <w:vAlign w:val="center"/>
            <w:hideMark/>
          </w:tcPr>
          <w:p w14:paraId="4876F50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Porto Velho, 105 – Piedade – Magé</w:t>
            </w:r>
          </w:p>
        </w:tc>
      </w:tr>
      <w:tr w:rsidR="00AB7C32" w:rsidRPr="00CB623E" w14:paraId="55E90418"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047745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27</w:t>
            </w:r>
          </w:p>
        </w:tc>
        <w:tc>
          <w:tcPr>
            <w:tcW w:w="4340" w:type="dxa"/>
            <w:tcBorders>
              <w:top w:val="nil"/>
              <w:left w:val="nil"/>
              <w:bottom w:val="single" w:sz="4" w:space="0" w:color="auto"/>
              <w:right w:val="single" w:sz="4" w:space="0" w:color="auto"/>
            </w:tcBorders>
            <w:vAlign w:val="center"/>
            <w:hideMark/>
          </w:tcPr>
          <w:p w14:paraId="4047D1A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Nelma Guerra Marins</w:t>
            </w:r>
          </w:p>
        </w:tc>
        <w:tc>
          <w:tcPr>
            <w:tcW w:w="4374" w:type="dxa"/>
            <w:tcBorders>
              <w:top w:val="nil"/>
              <w:left w:val="nil"/>
              <w:bottom w:val="single" w:sz="4" w:space="0" w:color="auto"/>
              <w:right w:val="single" w:sz="4" w:space="0" w:color="auto"/>
            </w:tcBorders>
            <w:vAlign w:val="center"/>
            <w:hideMark/>
          </w:tcPr>
          <w:p w14:paraId="1E43B50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Av. Dr. João Café Filho, nº 721 - Citrolândia  </w:t>
            </w:r>
          </w:p>
        </w:tc>
      </w:tr>
      <w:tr w:rsidR="00AB7C32" w:rsidRPr="00CB623E" w14:paraId="090B6377"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674EE1A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tcBorders>
              <w:top w:val="nil"/>
              <w:left w:val="nil"/>
              <w:bottom w:val="single" w:sz="4" w:space="0" w:color="auto"/>
              <w:right w:val="single" w:sz="4" w:space="0" w:color="auto"/>
            </w:tcBorders>
            <w:vAlign w:val="center"/>
            <w:hideMark/>
          </w:tcPr>
          <w:p w14:paraId="5834F60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Mundo Encantado (antiga)</w:t>
            </w:r>
          </w:p>
        </w:tc>
        <w:tc>
          <w:tcPr>
            <w:tcW w:w="4374" w:type="dxa"/>
            <w:tcBorders>
              <w:top w:val="nil"/>
              <w:left w:val="nil"/>
              <w:bottom w:val="single" w:sz="4" w:space="0" w:color="auto"/>
              <w:right w:val="single" w:sz="4" w:space="0" w:color="auto"/>
            </w:tcBorders>
            <w:vAlign w:val="center"/>
            <w:hideMark/>
          </w:tcPr>
          <w:p w14:paraId="02CF434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w:t>
            </w:r>
          </w:p>
        </w:tc>
      </w:tr>
      <w:tr w:rsidR="00AB7C32" w:rsidRPr="00CB623E" w14:paraId="7B022BE0"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4F3857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28</w:t>
            </w:r>
          </w:p>
        </w:tc>
        <w:tc>
          <w:tcPr>
            <w:tcW w:w="4340" w:type="dxa"/>
            <w:tcBorders>
              <w:top w:val="nil"/>
              <w:left w:val="nil"/>
              <w:bottom w:val="single" w:sz="4" w:space="0" w:color="auto"/>
              <w:right w:val="single" w:sz="4" w:space="0" w:color="auto"/>
            </w:tcBorders>
            <w:vAlign w:val="center"/>
            <w:hideMark/>
          </w:tcPr>
          <w:p w14:paraId="5D546A7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Profª Ignês Maria Vivas Marinho</w:t>
            </w:r>
          </w:p>
        </w:tc>
        <w:tc>
          <w:tcPr>
            <w:tcW w:w="4374" w:type="dxa"/>
            <w:tcBorders>
              <w:top w:val="nil"/>
              <w:left w:val="nil"/>
              <w:bottom w:val="single" w:sz="4" w:space="0" w:color="auto"/>
              <w:right w:val="single" w:sz="4" w:space="0" w:color="auto"/>
            </w:tcBorders>
            <w:vAlign w:val="center"/>
            <w:hideMark/>
          </w:tcPr>
          <w:p w14:paraId="0A854C9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69, nº 86 - Saco - Magé</w:t>
            </w:r>
          </w:p>
        </w:tc>
      </w:tr>
      <w:tr w:rsidR="00AB7C32" w:rsidRPr="00CB623E" w14:paraId="5AC6F8D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D5A3B5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29</w:t>
            </w:r>
          </w:p>
        </w:tc>
        <w:tc>
          <w:tcPr>
            <w:tcW w:w="4340" w:type="dxa"/>
            <w:tcBorders>
              <w:top w:val="nil"/>
              <w:left w:val="nil"/>
              <w:bottom w:val="single" w:sz="4" w:space="0" w:color="auto"/>
              <w:right w:val="single" w:sz="4" w:space="0" w:color="auto"/>
            </w:tcBorders>
            <w:vAlign w:val="center"/>
            <w:hideMark/>
          </w:tcPr>
          <w:p w14:paraId="29A45CE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Nilcéa Pinheiro Machado</w:t>
            </w:r>
          </w:p>
        </w:tc>
        <w:tc>
          <w:tcPr>
            <w:tcW w:w="4374" w:type="dxa"/>
            <w:tcBorders>
              <w:top w:val="nil"/>
              <w:left w:val="nil"/>
              <w:bottom w:val="single" w:sz="4" w:space="0" w:color="auto"/>
              <w:right w:val="single" w:sz="4" w:space="0" w:color="auto"/>
            </w:tcBorders>
            <w:vAlign w:val="center"/>
            <w:hideMark/>
          </w:tcPr>
          <w:p w14:paraId="218C653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Eduardo Portella, Lote 7 Q1 s/nº Barbuda</w:t>
            </w:r>
          </w:p>
        </w:tc>
      </w:tr>
      <w:tr w:rsidR="00AB7C32" w:rsidRPr="00CB623E" w14:paraId="4D5BEE3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1E4617E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30</w:t>
            </w:r>
          </w:p>
        </w:tc>
        <w:tc>
          <w:tcPr>
            <w:tcW w:w="4340" w:type="dxa"/>
            <w:tcBorders>
              <w:top w:val="nil"/>
              <w:left w:val="nil"/>
              <w:bottom w:val="single" w:sz="4" w:space="0" w:color="auto"/>
              <w:right w:val="single" w:sz="4" w:space="0" w:color="auto"/>
            </w:tcBorders>
            <w:vAlign w:val="center"/>
            <w:hideMark/>
          </w:tcPr>
          <w:p w14:paraId="02105FD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Helena Brandão Galvão</w:t>
            </w:r>
          </w:p>
        </w:tc>
        <w:tc>
          <w:tcPr>
            <w:tcW w:w="4374" w:type="dxa"/>
            <w:tcBorders>
              <w:top w:val="nil"/>
              <w:left w:val="nil"/>
              <w:bottom w:val="single" w:sz="4" w:space="0" w:color="auto"/>
              <w:right w:val="single" w:sz="4" w:space="0" w:color="auto"/>
            </w:tcBorders>
            <w:vAlign w:val="center"/>
            <w:hideMark/>
          </w:tcPr>
          <w:p w14:paraId="4939DAA1" w14:textId="05A5AF14"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Travessa Gustavo Gomes Pinto Ferraz, nº 59 - </w:t>
            </w:r>
            <w:r w:rsidR="00A052F8" w:rsidRPr="00CB623E">
              <w:rPr>
                <w:rFonts w:ascii="Times New Roman" w:eastAsia="Times New Roman" w:hAnsi="Times New Roman" w:cs="Times New Roman"/>
                <w:color w:val="000000"/>
              </w:rPr>
              <w:t>N. Marília</w:t>
            </w:r>
          </w:p>
        </w:tc>
      </w:tr>
      <w:tr w:rsidR="00AB7C32" w:rsidRPr="00CB623E" w14:paraId="5D34820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5ACE093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lastRenderedPageBreak/>
              <w:t>31</w:t>
            </w:r>
          </w:p>
        </w:tc>
        <w:tc>
          <w:tcPr>
            <w:tcW w:w="4340" w:type="dxa"/>
            <w:tcBorders>
              <w:top w:val="nil"/>
              <w:left w:val="nil"/>
              <w:bottom w:val="single" w:sz="4" w:space="0" w:color="auto"/>
              <w:right w:val="single" w:sz="4" w:space="0" w:color="auto"/>
            </w:tcBorders>
            <w:vAlign w:val="center"/>
            <w:hideMark/>
          </w:tcPr>
          <w:p w14:paraId="2D43A7D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Marzete Tito de Moraes</w:t>
            </w:r>
          </w:p>
        </w:tc>
        <w:tc>
          <w:tcPr>
            <w:tcW w:w="4374" w:type="dxa"/>
            <w:tcBorders>
              <w:top w:val="nil"/>
              <w:left w:val="nil"/>
              <w:bottom w:val="single" w:sz="4" w:space="0" w:color="auto"/>
              <w:right w:val="single" w:sz="4" w:space="0" w:color="auto"/>
            </w:tcBorders>
            <w:vAlign w:val="center"/>
            <w:hideMark/>
          </w:tcPr>
          <w:p w14:paraId="178BCE4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das Araras, nº 10 - Flexeiras - Magé</w:t>
            </w:r>
          </w:p>
        </w:tc>
      </w:tr>
      <w:tr w:rsidR="00AB7C32" w:rsidRPr="00CB623E" w14:paraId="730082BC"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426CE00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32</w:t>
            </w:r>
          </w:p>
        </w:tc>
        <w:tc>
          <w:tcPr>
            <w:tcW w:w="4340" w:type="dxa"/>
            <w:tcBorders>
              <w:top w:val="nil"/>
              <w:left w:val="nil"/>
              <w:bottom w:val="single" w:sz="4" w:space="0" w:color="auto"/>
              <w:right w:val="single" w:sz="4" w:space="0" w:color="auto"/>
            </w:tcBorders>
            <w:vAlign w:val="center"/>
            <w:hideMark/>
          </w:tcPr>
          <w:p w14:paraId="65DAF05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Profª Rosangela Belo dos S. Maia</w:t>
            </w:r>
          </w:p>
        </w:tc>
        <w:tc>
          <w:tcPr>
            <w:tcW w:w="4374" w:type="dxa"/>
            <w:tcBorders>
              <w:top w:val="nil"/>
              <w:left w:val="nil"/>
              <w:bottom w:val="single" w:sz="4" w:space="0" w:color="auto"/>
              <w:right w:val="single" w:sz="4" w:space="0" w:color="auto"/>
            </w:tcBorders>
            <w:vAlign w:val="center"/>
            <w:hideMark/>
          </w:tcPr>
          <w:p w14:paraId="1B4403B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Major Magalhães, nº 357 – Centro – Magé</w:t>
            </w:r>
          </w:p>
        </w:tc>
      </w:tr>
      <w:tr w:rsidR="00AB7C32" w:rsidRPr="00CB623E" w14:paraId="0762F26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75A4671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33</w:t>
            </w:r>
          </w:p>
        </w:tc>
        <w:tc>
          <w:tcPr>
            <w:tcW w:w="4340" w:type="dxa"/>
            <w:tcBorders>
              <w:top w:val="nil"/>
              <w:left w:val="nil"/>
              <w:bottom w:val="single" w:sz="4" w:space="0" w:color="auto"/>
              <w:right w:val="single" w:sz="4" w:space="0" w:color="auto"/>
            </w:tcBorders>
            <w:vAlign w:val="center"/>
            <w:hideMark/>
          </w:tcPr>
          <w:p w14:paraId="3F140D3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Tawan P. dos Santos</w:t>
            </w:r>
          </w:p>
        </w:tc>
        <w:tc>
          <w:tcPr>
            <w:tcW w:w="4374" w:type="dxa"/>
            <w:tcBorders>
              <w:top w:val="nil"/>
              <w:left w:val="nil"/>
              <w:bottom w:val="single" w:sz="4" w:space="0" w:color="auto"/>
              <w:right w:val="single" w:sz="4" w:space="0" w:color="auto"/>
            </w:tcBorders>
            <w:vAlign w:val="center"/>
            <w:hideMark/>
          </w:tcPr>
          <w:p w14:paraId="7F4BB67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Rio das Flores, sn° - Vila Nova - Magé</w:t>
            </w:r>
          </w:p>
        </w:tc>
      </w:tr>
      <w:tr w:rsidR="00AB7C32" w:rsidRPr="00CB623E" w14:paraId="051E52E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B8CCE4"/>
            <w:noWrap/>
            <w:vAlign w:val="center"/>
            <w:hideMark/>
          </w:tcPr>
          <w:p w14:paraId="79F9D81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34</w:t>
            </w:r>
          </w:p>
        </w:tc>
        <w:tc>
          <w:tcPr>
            <w:tcW w:w="4340" w:type="dxa"/>
            <w:tcBorders>
              <w:top w:val="nil"/>
              <w:left w:val="nil"/>
              <w:bottom w:val="single" w:sz="4" w:space="0" w:color="auto"/>
              <w:right w:val="single" w:sz="4" w:space="0" w:color="auto"/>
            </w:tcBorders>
            <w:vAlign w:val="center"/>
            <w:hideMark/>
          </w:tcPr>
          <w:p w14:paraId="00E2FA0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Profª Márcia dos Santos Rocha</w:t>
            </w:r>
          </w:p>
        </w:tc>
        <w:tc>
          <w:tcPr>
            <w:tcW w:w="4374" w:type="dxa"/>
            <w:tcBorders>
              <w:top w:val="nil"/>
              <w:left w:val="nil"/>
              <w:bottom w:val="single" w:sz="4" w:space="0" w:color="auto"/>
              <w:right w:val="single" w:sz="4" w:space="0" w:color="auto"/>
            </w:tcBorders>
            <w:vAlign w:val="center"/>
            <w:hideMark/>
          </w:tcPr>
          <w:p w14:paraId="1E9F20D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Vinte e Dois. Nº 185 - Nova Marília - Magé / RJ</w:t>
            </w:r>
          </w:p>
        </w:tc>
      </w:tr>
      <w:tr w:rsidR="00AB7C32" w:rsidRPr="00CB623E" w14:paraId="2FC2424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288E3F7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Nº</w:t>
            </w:r>
          </w:p>
        </w:tc>
        <w:tc>
          <w:tcPr>
            <w:tcW w:w="4340" w:type="dxa"/>
            <w:tcBorders>
              <w:top w:val="nil"/>
              <w:left w:val="nil"/>
              <w:bottom w:val="single" w:sz="4" w:space="0" w:color="auto"/>
              <w:right w:val="single" w:sz="4" w:space="0" w:color="auto"/>
            </w:tcBorders>
            <w:shd w:val="clear" w:color="000000" w:fill="F79646"/>
            <w:vAlign w:val="center"/>
            <w:hideMark/>
          </w:tcPr>
          <w:p w14:paraId="74252C3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UNIDADE ESCOLAR</w:t>
            </w:r>
          </w:p>
        </w:tc>
        <w:tc>
          <w:tcPr>
            <w:tcW w:w="4374" w:type="dxa"/>
            <w:tcBorders>
              <w:top w:val="nil"/>
              <w:left w:val="nil"/>
              <w:bottom w:val="single" w:sz="4" w:space="0" w:color="auto"/>
              <w:right w:val="single" w:sz="4" w:space="0" w:color="auto"/>
            </w:tcBorders>
            <w:shd w:val="clear" w:color="000000" w:fill="F79646"/>
            <w:vAlign w:val="center"/>
            <w:hideMark/>
          </w:tcPr>
          <w:p w14:paraId="511F1DF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ENDEREÇO</w:t>
            </w:r>
          </w:p>
        </w:tc>
      </w:tr>
      <w:tr w:rsidR="00AB7C32" w:rsidRPr="00CB623E" w14:paraId="4919C1A7"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4A74E8D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35</w:t>
            </w:r>
          </w:p>
        </w:tc>
        <w:tc>
          <w:tcPr>
            <w:tcW w:w="4340" w:type="dxa"/>
            <w:tcBorders>
              <w:top w:val="nil"/>
              <w:left w:val="nil"/>
              <w:bottom w:val="single" w:sz="4" w:space="0" w:color="auto"/>
              <w:right w:val="single" w:sz="4" w:space="0" w:color="auto"/>
            </w:tcBorders>
            <w:vAlign w:val="center"/>
            <w:hideMark/>
          </w:tcPr>
          <w:p w14:paraId="02148A0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Anayde de Mello Guimarães</w:t>
            </w:r>
          </w:p>
        </w:tc>
        <w:tc>
          <w:tcPr>
            <w:tcW w:w="4374" w:type="dxa"/>
            <w:tcBorders>
              <w:top w:val="nil"/>
              <w:left w:val="nil"/>
              <w:bottom w:val="single" w:sz="4" w:space="0" w:color="auto"/>
              <w:right w:val="single" w:sz="4" w:space="0" w:color="auto"/>
            </w:tcBorders>
            <w:vAlign w:val="center"/>
            <w:hideMark/>
          </w:tcPr>
          <w:p w14:paraId="68FFB177" w14:textId="1B942C56"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Est. Mun. </w:t>
            </w:r>
            <w:r w:rsidR="00A052F8" w:rsidRPr="00CB623E">
              <w:rPr>
                <w:rFonts w:ascii="Times New Roman" w:eastAsia="Times New Roman" w:hAnsi="Times New Roman" w:cs="Times New Roman"/>
                <w:color w:val="000000"/>
              </w:rPr>
              <w:t>Antônio</w:t>
            </w:r>
            <w:r w:rsidRPr="00CB623E">
              <w:rPr>
                <w:rFonts w:ascii="Times New Roman" w:eastAsia="Times New Roman" w:hAnsi="Times New Roman" w:cs="Times New Roman"/>
                <w:color w:val="000000"/>
              </w:rPr>
              <w:t xml:space="preserve"> A. Bergara, n° 525 </w:t>
            </w:r>
            <w:r w:rsidR="00A052F8" w:rsidRPr="00CB623E">
              <w:rPr>
                <w:rFonts w:ascii="Times New Roman" w:eastAsia="Times New Roman" w:hAnsi="Times New Roman" w:cs="Times New Roman"/>
                <w:color w:val="000000"/>
              </w:rPr>
              <w:t>St. º</w:t>
            </w:r>
            <w:r w:rsidRPr="00CB623E">
              <w:rPr>
                <w:rFonts w:ascii="Times New Roman" w:eastAsia="Times New Roman" w:hAnsi="Times New Roman" w:cs="Times New Roman"/>
                <w:color w:val="000000"/>
              </w:rPr>
              <w:t xml:space="preserve"> Aleixo</w:t>
            </w:r>
          </w:p>
        </w:tc>
      </w:tr>
      <w:tr w:rsidR="00AB7C32" w:rsidRPr="00CB623E" w14:paraId="6CB17C9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7C27029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36</w:t>
            </w:r>
          </w:p>
        </w:tc>
        <w:tc>
          <w:tcPr>
            <w:tcW w:w="4340" w:type="dxa"/>
            <w:tcBorders>
              <w:top w:val="nil"/>
              <w:left w:val="nil"/>
              <w:bottom w:val="single" w:sz="4" w:space="0" w:color="auto"/>
              <w:right w:val="single" w:sz="4" w:space="0" w:color="auto"/>
            </w:tcBorders>
            <w:vAlign w:val="center"/>
            <w:hideMark/>
          </w:tcPr>
          <w:p w14:paraId="7F9BAD1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Evanir da Silva Gago</w:t>
            </w:r>
          </w:p>
        </w:tc>
        <w:tc>
          <w:tcPr>
            <w:tcW w:w="4374" w:type="dxa"/>
            <w:tcBorders>
              <w:top w:val="nil"/>
              <w:left w:val="nil"/>
              <w:bottom w:val="single" w:sz="4" w:space="0" w:color="auto"/>
              <w:right w:val="single" w:sz="4" w:space="0" w:color="auto"/>
            </w:tcBorders>
            <w:vAlign w:val="center"/>
            <w:hideMark/>
          </w:tcPr>
          <w:p w14:paraId="124CB2A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8 de Maio s/n° Andorinhas –Magé</w:t>
            </w:r>
          </w:p>
        </w:tc>
      </w:tr>
      <w:tr w:rsidR="00AB7C32" w:rsidRPr="00CB623E" w14:paraId="74EC719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7004EE4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37</w:t>
            </w:r>
          </w:p>
        </w:tc>
        <w:tc>
          <w:tcPr>
            <w:tcW w:w="4340" w:type="dxa"/>
            <w:tcBorders>
              <w:top w:val="nil"/>
              <w:left w:val="nil"/>
              <w:bottom w:val="single" w:sz="4" w:space="0" w:color="auto"/>
              <w:right w:val="single" w:sz="4" w:space="0" w:color="auto"/>
            </w:tcBorders>
            <w:vAlign w:val="center"/>
            <w:hideMark/>
          </w:tcPr>
          <w:p w14:paraId="0836737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Manoel Francisco da Silveira</w:t>
            </w:r>
          </w:p>
        </w:tc>
        <w:tc>
          <w:tcPr>
            <w:tcW w:w="4374" w:type="dxa"/>
            <w:tcBorders>
              <w:top w:val="nil"/>
              <w:left w:val="nil"/>
              <w:bottom w:val="single" w:sz="4" w:space="0" w:color="auto"/>
              <w:right w:val="single" w:sz="4" w:space="0" w:color="auto"/>
            </w:tcBorders>
            <w:vAlign w:val="center"/>
            <w:hideMark/>
          </w:tcPr>
          <w:p w14:paraId="2BF842F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M. Adam Blumer -8785 – Gandé – St.º Aleixo</w:t>
            </w:r>
          </w:p>
        </w:tc>
      </w:tr>
      <w:tr w:rsidR="00AB7C32" w:rsidRPr="00CB623E" w14:paraId="1EEBE4E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2DCDEFB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38</w:t>
            </w:r>
          </w:p>
        </w:tc>
        <w:tc>
          <w:tcPr>
            <w:tcW w:w="4340" w:type="dxa"/>
            <w:tcBorders>
              <w:top w:val="nil"/>
              <w:left w:val="nil"/>
              <w:bottom w:val="single" w:sz="4" w:space="0" w:color="auto"/>
              <w:right w:val="single" w:sz="4" w:space="0" w:color="auto"/>
            </w:tcBorders>
            <w:vAlign w:val="center"/>
            <w:hideMark/>
          </w:tcPr>
          <w:p w14:paraId="50730FA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Paroquial Nª Sr.ª da Conceição</w:t>
            </w:r>
          </w:p>
        </w:tc>
        <w:tc>
          <w:tcPr>
            <w:tcW w:w="4374" w:type="dxa"/>
            <w:tcBorders>
              <w:top w:val="nil"/>
              <w:left w:val="nil"/>
              <w:bottom w:val="single" w:sz="4" w:space="0" w:color="auto"/>
              <w:right w:val="single" w:sz="4" w:space="0" w:color="auto"/>
            </w:tcBorders>
            <w:vAlign w:val="center"/>
            <w:hideMark/>
          </w:tcPr>
          <w:p w14:paraId="692D873C" w14:textId="47AE36B6"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Nova, n° 01 Pau a Pique- </w:t>
            </w:r>
            <w:r w:rsidR="00A052F8" w:rsidRPr="00CB623E">
              <w:rPr>
                <w:rFonts w:ascii="Times New Roman" w:eastAsia="Times New Roman" w:hAnsi="Times New Roman" w:cs="Times New Roman"/>
                <w:color w:val="000000"/>
              </w:rPr>
              <w:t>St. º</w:t>
            </w:r>
            <w:r w:rsidRPr="00CB623E">
              <w:rPr>
                <w:rFonts w:ascii="Times New Roman" w:eastAsia="Times New Roman" w:hAnsi="Times New Roman" w:cs="Times New Roman"/>
                <w:color w:val="000000"/>
              </w:rPr>
              <w:t xml:space="preserve"> Aleixo - Magé</w:t>
            </w:r>
          </w:p>
        </w:tc>
      </w:tr>
      <w:tr w:rsidR="00AB7C32" w:rsidRPr="00CB623E" w14:paraId="6FD35841"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5AB91DE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39</w:t>
            </w:r>
          </w:p>
        </w:tc>
        <w:tc>
          <w:tcPr>
            <w:tcW w:w="4340" w:type="dxa"/>
            <w:tcBorders>
              <w:top w:val="nil"/>
              <w:left w:val="nil"/>
              <w:bottom w:val="single" w:sz="4" w:space="0" w:color="auto"/>
              <w:right w:val="single" w:sz="4" w:space="0" w:color="auto"/>
            </w:tcBorders>
            <w:vAlign w:val="center"/>
            <w:hideMark/>
          </w:tcPr>
          <w:p w14:paraId="0ABCF24D" w14:textId="63B402FB"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E. M. Profª Risoleta </w:t>
            </w:r>
            <w:r w:rsidR="00A052F8" w:rsidRPr="00CB623E">
              <w:rPr>
                <w:rFonts w:ascii="Times New Roman" w:eastAsia="Times New Roman" w:hAnsi="Times New Roman" w:cs="Times New Roman"/>
                <w:color w:val="000000"/>
              </w:rPr>
              <w:t>G. da</w:t>
            </w:r>
            <w:r w:rsidRPr="00CB623E">
              <w:rPr>
                <w:rFonts w:ascii="Times New Roman" w:eastAsia="Times New Roman" w:hAnsi="Times New Roman" w:cs="Times New Roman"/>
                <w:color w:val="000000"/>
              </w:rPr>
              <w:t xml:space="preserve"> S. Matuck</w:t>
            </w:r>
          </w:p>
        </w:tc>
        <w:tc>
          <w:tcPr>
            <w:tcW w:w="4374" w:type="dxa"/>
            <w:tcBorders>
              <w:top w:val="nil"/>
              <w:left w:val="nil"/>
              <w:bottom w:val="single" w:sz="4" w:space="0" w:color="auto"/>
              <w:right w:val="single" w:sz="4" w:space="0" w:color="auto"/>
            </w:tcBorders>
            <w:vAlign w:val="center"/>
            <w:hideMark/>
          </w:tcPr>
          <w:p w14:paraId="0DA81D1D" w14:textId="04B1139F"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dos </w:t>
            </w:r>
            <w:r w:rsidR="00A052F8" w:rsidRPr="00CB623E">
              <w:rPr>
                <w:rFonts w:ascii="Times New Roman" w:eastAsia="Times New Roman" w:hAnsi="Times New Roman" w:cs="Times New Roman"/>
                <w:color w:val="000000"/>
              </w:rPr>
              <w:t>Cravos</w:t>
            </w:r>
            <w:r w:rsidRPr="00CB623E">
              <w:rPr>
                <w:rFonts w:ascii="Times New Roman" w:eastAsia="Times New Roman" w:hAnsi="Times New Roman" w:cs="Times New Roman"/>
                <w:color w:val="000000"/>
              </w:rPr>
              <w:t xml:space="preserve">, n°190 – BNH – </w:t>
            </w:r>
            <w:r w:rsidR="00A052F8" w:rsidRPr="00CB623E">
              <w:rPr>
                <w:rFonts w:ascii="Times New Roman" w:eastAsia="Times New Roman" w:hAnsi="Times New Roman" w:cs="Times New Roman"/>
                <w:color w:val="000000"/>
              </w:rPr>
              <w:t>St. º</w:t>
            </w:r>
            <w:r w:rsidRPr="00CB623E">
              <w:rPr>
                <w:rFonts w:ascii="Times New Roman" w:eastAsia="Times New Roman" w:hAnsi="Times New Roman" w:cs="Times New Roman"/>
                <w:color w:val="000000"/>
              </w:rPr>
              <w:t xml:space="preserve"> Aleixo- Magé</w:t>
            </w:r>
          </w:p>
        </w:tc>
      </w:tr>
      <w:tr w:rsidR="00AB7C32" w:rsidRPr="00CB623E" w14:paraId="118D4FE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19ED9CD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40</w:t>
            </w:r>
          </w:p>
        </w:tc>
        <w:tc>
          <w:tcPr>
            <w:tcW w:w="4340" w:type="dxa"/>
            <w:tcBorders>
              <w:top w:val="nil"/>
              <w:left w:val="nil"/>
              <w:bottom w:val="single" w:sz="4" w:space="0" w:color="auto"/>
              <w:right w:val="single" w:sz="4" w:space="0" w:color="auto"/>
            </w:tcBorders>
            <w:vAlign w:val="center"/>
            <w:hideMark/>
          </w:tcPr>
          <w:p w14:paraId="4BA7AFD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Ruth Taldo França</w:t>
            </w:r>
          </w:p>
        </w:tc>
        <w:tc>
          <w:tcPr>
            <w:tcW w:w="4374" w:type="dxa"/>
            <w:tcBorders>
              <w:top w:val="nil"/>
              <w:left w:val="nil"/>
              <w:bottom w:val="single" w:sz="4" w:space="0" w:color="auto"/>
              <w:right w:val="single" w:sz="4" w:space="0" w:color="auto"/>
            </w:tcBorders>
            <w:vAlign w:val="center"/>
            <w:hideMark/>
          </w:tcPr>
          <w:p w14:paraId="7B109D1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Othon Linch Bezerra de Mello, n° 329 - Santo Aleixo</w:t>
            </w:r>
          </w:p>
        </w:tc>
      </w:tr>
      <w:tr w:rsidR="00AB7C32" w:rsidRPr="00CB623E" w14:paraId="735CB1C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75404A4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41</w:t>
            </w:r>
          </w:p>
        </w:tc>
        <w:tc>
          <w:tcPr>
            <w:tcW w:w="4340" w:type="dxa"/>
            <w:tcBorders>
              <w:top w:val="nil"/>
              <w:left w:val="nil"/>
              <w:bottom w:val="single" w:sz="4" w:space="0" w:color="auto"/>
              <w:right w:val="single" w:sz="4" w:space="0" w:color="auto"/>
            </w:tcBorders>
            <w:vAlign w:val="center"/>
            <w:hideMark/>
          </w:tcPr>
          <w:p w14:paraId="3E6D95E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São Jorge</w:t>
            </w:r>
          </w:p>
        </w:tc>
        <w:tc>
          <w:tcPr>
            <w:tcW w:w="4374" w:type="dxa"/>
            <w:tcBorders>
              <w:top w:val="nil"/>
              <w:left w:val="nil"/>
              <w:bottom w:val="single" w:sz="4" w:space="0" w:color="auto"/>
              <w:right w:val="single" w:sz="4" w:space="0" w:color="auto"/>
            </w:tcBorders>
            <w:vAlign w:val="center"/>
            <w:hideMark/>
          </w:tcPr>
          <w:p w14:paraId="0D1D77BF" w14:textId="1D2F8210"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Sapotizeiro, n°370- Jd. Esmeralda- </w:t>
            </w:r>
            <w:r w:rsidR="00A052F8" w:rsidRPr="00CB623E">
              <w:rPr>
                <w:rFonts w:ascii="Times New Roman" w:eastAsia="Times New Roman" w:hAnsi="Times New Roman" w:cs="Times New Roman"/>
                <w:color w:val="000000"/>
              </w:rPr>
              <w:t>St. º</w:t>
            </w:r>
            <w:r w:rsidRPr="00CB623E">
              <w:rPr>
                <w:rFonts w:ascii="Times New Roman" w:eastAsia="Times New Roman" w:hAnsi="Times New Roman" w:cs="Times New Roman"/>
                <w:color w:val="000000"/>
              </w:rPr>
              <w:t xml:space="preserve"> Aleixo</w:t>
            </w:r>
          </w:p>
        </w:tc>
      </w:tr>
      <w:tr w:rsidR="00AB7C32" w:rsidRPr="00CB623E" w14:paraId="49A6CE7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79646"/>
            <w:vAlign w:val="center"/>
            <w:hideMark/>
          </w:tcPr>
          <w:p w14:paraId="461E22D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42</w:t>
            </w:r>
          </w:p>
        </w:tc>
        <w:tc>
          <w:tcPr>
            <w:tcW w:w="4340" w:type="dxa"/>
            <w:tcBorders>
              <w:top w:val="nil"/>
              <w:left w:val="nil"/>
              <w:bottom w:val="single" w:sz="4" w:space="0" w:color="auto"/>
              <w:right w:val="single" w:sz="4" w:space="0" w:color="auto"/>
            </w:tcBorders>
            <w:vAlign w:val="center"/>
            <w:hideMark/>
          </w:tcPr>
          <w:p w14:paraId="0D2ABD3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São Sebastião</w:t>
            </w:r>
          </w:p>
        </w:tc>
        <w:tc>
          <w:tcPr>
            <w:tcW w:w="4374" w:type="dxa"/>
            <w:tcBorders>
              <w:top w:val="nil"/>
              <w:left w:val="nil"/>
              <w:bottom w:val="single" w:sz="4" w:space="0" w:color="auto"/>
              <w:right w:val="single" w:sz="4" w:space="0" w:color="auto"/>
            </w:tcBorders>
            <w:vAlign w:val="center"/>
            <w:hideMark/>
          </w:tcPr>
          <w:p w14:paraId="3BA9A22D" w14:textId="4A29DE6B"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Av. Othon Linch B. de Mello, n° 515 – </w:t>
            </w:r>
            <w:r w:rsidR="00A052F8" w:rsidRPr="00CB623E">
              <w:rPr>
                <w:rFonts w:ascii="Times New Roman" w:eastAsia="Times New Roman" w:hAnsi="Times New Roman" w:cs="Times New Roman"/>
                <w:color w:val="000000"/>
              </w:rPr>
              <w:t>St. º</w:t>
            </w:r>
            <w:r w:rsidRPr="00CB623E">
              <w:rPr>
                <w:rFonts w:ascii="Times New Roman" w:eastAsia="Times New Roman" w:hAnsi="Times New Roman" w:cs="Times New Roman"/>
                <w:color w:val="000000"/>
              </w:rPr>
              <w:t xml:space="preserve"> Aleixo</w:t>
            </w:r>
          </w:p>
        </w:tc>
      </w:tr>
      <w:tr w:rsidR="00AB7C32" w:rsidRPr="00CB623E" w14:paraId="78DA7CC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7878CAA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Nº</w:t>
            </w:r>
          </w:p>
        </w:tc>
        <w:tc>
          <w:tcPr>
            <w:tcW w:w="4340" w:type="dxa"/>
            <w:tcBorders>
              <w:top w:val="nil"/>
              <w:left w:val="nil"/>
              <w:bottom w:val="single" w:sz="4" w:space="0" w:color="auto"/>
              <w:right w:val="single" w:sz="4" w:space="0" w:color="auto"/>
            </w:tcBorders>
            <w:shd w:val="clear" w:color="000000" w:fill="92D050"/>
            <w:noWrap/>
            <w:vAlign w:val="center"/>
            <w:hideMark/>
          </w:tcPr>
          <w:p w14:paraId="4D047D9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UNIDADE ESCOLAR</w:t>
            </w:r>
          </w:p>
        </w:tc>
        <w:tc>
          <w:tcPr>
            <w:tcW w:w="4374" w:type="dxa"/>
            <w:tcBorders>
              <w:top w:val="nil"/>
              <w:left w:val="nil"/>
              <w:bottom w:val="single" w:sz="4" w:space="0" w:color="auto"/>
              <w:right w:val="single" w:sz="4" w:space="0" w:color="auto"/>
            </w:tcBorders>
            <w:shd w:val="clear" w:color="000000" w:fill="92D050"/>
            <w:noWrap/>
            <w:vAlign w:val="center"/>
            <w:hideMark/>
          </w:tcPr>
          <w:p w14:paraId="4052871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ENDEREÇO</w:t>
            </w:r>
          </w:p>
        </w:tc>
      </w:tr>
      <w:tr w:rsidR="00AB7C32" w:rsidRPr="00CB623E" w14:paraId="169B2DD1"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70F1837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43</w:t>
            </w:r>
          </w:p>
        </w:tc>
        <w:tc>
          <w:tcPr>
            <w:tcW w:w="4340" w:type="dxa"/>
            <w:tcBorders>
              <w:top w:val="nil"/>
              <w:left w:val="nil"/>
              <w:bottom w:val="single" w:sz="4" w:space="0" w:color="auto"/>
              <w:right w:val="single" w:sz="4" w:space="0" w:color="auto"/>
            </w:tcBorders>
            <w:vAlign w:val="center"/>
            <w:hideMark/>
          </w:tcPr>
          <w:p w14:paraId="7C4CFCF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Celso Goulart</w:t>
            </w:r>
          </w:p>
        </w:tc>
        <w:tc>
          <w:tcPr>
            <w:tcW w:w="4374" w:type="dxa"/>
            <w:tcBorders>
              <w:top w:val="nil"/>
              <w:left w:val="nil"/>
              <w:bottom w:val="single" w:sz="4" w:space="0" w:color="auto"/>
              <w:right w:val="single" w:sz="4" w:space="0" w:color="auto"/>
            </w:tcBorders>
            <w:vAlign w:val="center"/>
            <w:hideMark/>
          </w:tcPr>
          <w:p w14:paraId="30907082" w14:textId="037065DF"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Guilhermino </w:t>
            </w:r>
            <w:r w:rsidR="00A052F8" w:rsidRPr="00CB623E">
              <w:rPr>
                <w:rFonts w:ascii="Times New Roman" w:eastAsia="Times New Roman" w:hAnsi="Times New Roman" w:cs="Times New Roman"/>
                <w:color w:val="000000"/>
              </w:rPr>
              <w:t>Reis</w:t>
            </w:r>
            <w:r w:rsidRPr="00CB623E">
              <w:rPr>
                <w:rFonts w:ascii="Times New Roman" w:eastAsia="Times New Roman" w:hAnsi="Times New Roman" w:cs="Times New Roman"/>
                <w:color w:val="000000"/>
              </w:rPr>
              <w:t>, n° 121 –Rio do Ouro - Suruí</w:t>
            </w:r>
          </w:p>
        </w:tc>
      </w:tr>
      <w:tr w:rsidR="00AB7C32" w:rsidRPr="00CB623E" w14:paraId="3BFD582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5A39635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44</w:t>
            </w:r>
          </w:p>
        </w:tc>
        <w:tc>
          <w:tcPr>
            <w:tcW w:w="4340" w:type="dxa"/>
            <w:tcBorders>
              <w:top w:val="nil"/>
              <w:left w:val="nil"/>
              <w:bottom w:val="single" w:sz="4" w:space="0" w:color="auto"/>
              <w:right w:val="single" w:sz="4" w:space="0" w:color="auto"/>
            </w:tcBorders>
            <w:vAlign w:val="center"/>
            <w:hideMark/>
          </w:tcPr>
          <w:p w14:paraId="66A51E8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Dinorah dos Santos Bastos</w:t>
            </w:r>
          </w:p>
        </w:tc>
        <w:tc>
          <w:tcPr>
            <w:tcW w:w="4374" w:type="dxa"/>
            <w:tcBorders>
              <w:top w:val="nil"/>
              <w:left w:val="nil"/>
              <w:bottom w:val="single" w:sz="4" w:space="0" w:color="auto"/>
              <w:right w:val="single" w:sz="4" w:space="0" w:color="auto"/>
            </w:tcBorders>
            <w:vAlign w:val="center"/>
            <w:hideMark/>
          </w:tcPr>
          <w:p w14:paraId="6792038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da Conceição, n° 2214 - Conceição - Suruí</w:t>
            </w:r>
          </w:p>
        </w:tc>
      </w:tr>
      <w:tr w:rsidR="00AB7C32" w:rsidRPr="00CB623E" w14:paraId="5740F86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012B3E30"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45</w:t>
            </w:r>
          </w:p>
        </w:tc>
        <w:tc>
          <w:tcPr>
            <w:tcW w:w="4340" w:type="dxa"/>
            <w:tcBorders>
              <w:top w:val="nil"/>
              <w:left w:val="nil"/>
              <w:bottom w:val="single" w:sz="4" w:space="0" w:color="auto"/>
              <w:right w:val="single" w:sz="4" w:space="0" w:color="auto"/>
            </w:tcBorders>
            <w:vAlign w:val="center"/>
            <w:hideMark/>
          </w:tcPr>
          <w:p w14:paraId="72FD7A7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Getúlio Vargas</w:t>
            </w:r>
          </w:p>
        </w:tc>
        <w:tc>
          <w:tcPr>
            <w:tcW w:w="4374" w:type="dxa"/>
            <w:tcBorders>
              <w:top w:val="nil"/>
              <w:left w:val="nil"/>
              <w:bottom w:val="single" w:sz="4" w:space="0" w:color="auto"/>
              <w:right w:val="single" w:sz="4" w:space="0" w:color="auto"/>
            </w:tcBorders>
            <w:vAlign w:val="center"/>
            <w:hideMark/>
          </w:tcPr>
          <w:p w14:paraId="015149C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Mun. Antônio A Bergara, 234 Cachoeirinha – Suruí</w:t>
            </w:r>
          </w:p>
        </w:tc>
      </w:tr>
      <w:tr w:rsidR="00AB7C32" w:rsidRPr="00CB623E" w14:paraId="24080AB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7287792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46</w:t>
            </w:r>
          </w:p>
        </w:tc>
        <w:tc>
          <w:tcPr>
            <w:tcW w:w="4340" w:type="dxa"/>
            <w:tcBorders>
              <w:top w:val="nil"/>
              <w:left w:val="nil"/>
              <w:bottom w:val="single" w:sz="4" w:space="0" w:color="auto"/>
              <w:right w:val="single" w:sz="4" w:space="0" w:color="auto"/>
            </w:tcBorders>
            <w:vAlign w:val="center"/>
            <w:hideMark/>
          </w:tcPr>
          <w:p w14:paraId="523F9F9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Mário Pinheiro</w:t>
            </w:r>
          </w:p>
        </w:tc>
        <w:tc>
          <w:tcPr>
            <w:tcW w:w="4374" w:type="dxa"/>
            <w:tcBorders>
              <w:top w:val="nil"/>
              <w:left w:val="nil"/>
              <w:bottom w:val="single" w:sz="4" w:space="0" w:color="auto"/>
              <w:right w:val="single" w:sz="4" w:space="0" w:color="auto"/>
            </w:tcBorders>
            <w:vAlign w:val="center"/>
            <w:hideMark/>
          </w:tcPr>
          <w:p w14:paraId="6DDA3633" w14:textId="38239AF1"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Pça Dr. Mário Pinheiro, s/n° </w:t>
            </w:r>
            <w:r w:rsidR="00A052F8" w:rsidRPr="00CB623E">
              <w:rPr>
                <w:rFonts w:ascii="Times New Roman" w:eastAsia="Times New Roman" w:hAnsi="Times New Roman" w:cs="Times New Roman"/>
                <w:color w:val="000000"/>
              </w:rPr>
              <w:t>St. ª</w:t>
            </w:r>
            <w:r w:rsidRPr="00CB623E">
              <w:rPr>
                <w:rFonts w:ascii="Times New Roman" w:eastAsia="Times New Roman" w:hAnsi="Times New Roman" w:cs="Times New Roman"/>
                <w:color w:val="000000"/>
              </w:rPr>
              <w:t xml:space="preserve"> Dalila – Suruí</w:t>
            </w:r>
          </w:p>
        </w:tc>
      </w:tr>
      <w:tr w:rsidR="00AB7C32" w:rsidRPr="00CB623E" w14:paraId="4F8E248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638FEB8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47</w:t>
            </w:r>
          </w:p>
        </w:tc>
        <w:tc>
          <w:tcPr>
            <w:tcW w:w="4340" w:type="dxa"/>
            <w:tcBorders>
              <w:top w:val="nil"/>
              <w:left w:val="nil"/>
              <w:bottom w:val="single" w:sz="4" w:space="0" w:color="auto"/>
              <w:right w:val="single" w:sz="4" w:space="0" w:color="auto"/>
            </w:tcBorders>
            <w:vAlign w:val="center"/>
            <w:hideMark/>
          </w:tcPr>
          <w:p w14:paraId="234BFDE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Ophélia Ribeiro Martins</w:t>
            </w:r>
          </w:p>
        </w:tc>
        <w:tc>
          <w:tcPr>
            <w:tcW w:w="4374" w:type="dxa"/>
            <w:tcBorders>
              <w:top w:val="nil"/>
              <w:left w:val="nil"/>
              <w:bottom w:val="single" w:sz="4" w:space="0" w:color="auto"/>
              <w:right w:val="single" w:sz="4" w:space="0" w:color="auto"/>
            </w:tcBorders>
            <w:vAlign w:val="center"/>
            <w:hideMark/>
          </w:tcPr>
          <w:p w14:paraId="3558488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Izabel de Paula s/n° - Suruí – Magé</w:t>
            </w:r>
          </w:p>
        </w:tc>
      </w:tr>
      <w:tr w:rsidR="00AB7C32" w:rsidRPr="00CB623E" w14:paraId="3E44CD2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1B1B7DE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48</w:t>
            </w:r>
          </w:p>
        </w:tc>
        <w:tc>
          <w:tcPr>
            <w:tcW w:w="4340" w:type="dxa"/>
            <w:tcBorders>
              <w:top w:val="nil"/>
              <w:left w:val="nil"/>
              <w:bottom w:val="single" w:sz="4" w:space="0" w:color="auto"/>
              <w:right w:val="single" w:sz="4" w:space="0" w:color="auto"/>
            </w:tcBorders>
            <w:vAlign w:val="center"/>
            <w:hideMark/>
          </w:tcPr>
          <w:p w14:paraId="08B99EE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São Nicolau</w:t>
            </w:r>
          </w:p>
        </w:tc>
        <w:tc>
          <w:tcPr>
            <w:tcW w:w="4374" w:type="dxa"/>
            <w:tcBorders>
              <w:top w:val="nil"/>
              <w:left w:val="nil"/>
              <w:bottom w:val="single" w:sz="4" w:space="0" w:color="auto"/>
              <w:right w:val="single" w:sz="4" w:space="0" w:color="auto"/>
            </w:tcBorders>
            <w:vAlign w:val="center"/>
            <w:hideMark/>
          </w:tcPr>
          <w:p w14:paraId="541195D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R.Cel. Sérgio José do Amaral, s/n°- Centro - Suruí</w:t>
            </w:r>
          </w:p>
        </w:tc>
      </w:tr>
      <w:tr w:rsidR="00AB7C32" w:rsidRPr="00CB623E" w14:paraId="2954300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707F5DB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49</w:t>
            </w:r>
          </w:p>
        </w:tc>
        <w:tc>
          <w:tcPr>
            <w:tcW w:w="4340" w:type="dxa"/>
            <w:tcBorders>
              <w:top w:val="nil"/>
              <w:left w:val="nil"/>
              <w:bottom w:val="single" w:sz="4" w:space="0" w:color="auto"/>
              <w:right w:val="single" w:sz="4" w:space="0" w:color="auto"/>
            </w:tcBorders>
            <w:vAlign w:val="center"/>
            <w:hideMark/>
          </w:tcPr>
          <w:p w14:paraId="613BC5D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Vereador Waldair José do Amaral</w:t>
            </w:r>
          </w:p>
        </w:tc>
        <w:tc>
          <w:tcPr>
            <w:tcW w:w="4374" w:type="dxa"/>
            <w:tcBorders>
              <w:top w:val="nil"/>
              <w:left w:val="nil"/>
              <w:bottom w:val="single" w:sz="4" w:space="0" w:color="auto"/>
              <w:right w:val="single" w:sz="4" w:space="0" w:color="auto"/>
            </w:tcBorders>
            <w:vAlign w:val="center"/>
            <w:hideMark/>
          </w:tcPr>
          <w:p w14:paraId="4D21D37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Antônio Zarzur, n° 524 – Suruí – Magé</w:t>
            </w:r>
          </w:p>
        </w:tc>
      </w:tr>
      <w:tr w:rsidR="00AB7C32" w:rsidRPr="00CB623E" w14:paraId="49AEAF3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1DC37DB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50</w:t>
            </w:r>
          </w:p>
        </w:tc>
        <w:tc>
          <w:tcPr>
            <w:tcW w:w="4340" w:type="dxa"/>
            <w:tcBorders>
              <w:top w:val="nil"/>
              <w:left w:val="nil"/>
              <w:bottom w:val="single" w:sz="4" w:space="0" w:color="auto"/>
              <w:right w:val="single" w:sz="4" w:space="0" w:color="auto"/>
            </w:tcBorders>
            <w:vAlign w:val="center"/>
            <w:hideMark/>
          </w:tcPr>
          <w:p w14:paraId="6FBADB6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Municipalizada Covanca</w:t>
            </w:r>
          </w:p>
        </w:tc>
        <w:tc>
          <w:tcPr>
            <w:tcW w:w="4374" w:type="dxa"/>
            <w:tcBorders>
              <w:top w:val="nil"/>
              <w:left w:val="nil"/>
              <w:bottom w:val="single" w:sz="4" w:space="0" w:color="auto"/>
              <w:right w:val="single" w:sz="4" w:space="0" w:color="auto"/>
            </w:tcBorders>
            <w:vAlign w:val="center"/>
            <w:hideMark/>
          </w:tcPr>
          <w:p w14:paraId="6E7EE26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Diron Paiva, 282 – Covanca – Suruí - Magé</w:t>
            </w:r>
          </w:p>
        </w:tc>
      </w:tr>
      <w:tr w:rsidR="00AB7C32" w:rsidRPr="00CB623E" w14:paraId="4BD1CB6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4D85CF4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51</w:t>
            </w:r>
          </w:p>
        </w:tc>
        <w:tc>
          <w:tcPr>
            <w:tcW w:w="4340" w:type="dxa"/>
            <w:tcBorders>
              <w:top w:val="nil"/>
              <w:left w:val="nil"/>
              <w:bottom w:val="single" w:sz="4" w:space="0" w:color="auto"/>
              <w:right w:val="single" w:sz="4" w:space="0" w:color="auto"/>
            </w:tcBorders>
            <w:vAlign w:val="center"/>
            <w:hideMark/>
          </w:tcPr>
          <w:p w14:paraId="216D333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Lar de Mãezinha</w:t>
            </w:r>
          </w:p>
        </w:tc>
        <w:tc>
          <w:tcPr>
            <w:tcW w:w="4374" w:type="dxa"/>
            <w:tcBorders>
              <w:top w:val="nil"/>
              <w:left w:val="nil"/>
              <w:bottom w:val="single" w:sz="4" w:space="0" w:color="auto"/>
              <w:right w:val="single" w:sz="4" w:space="0" w:color="auto"/>
            </w:tcBorders>
            <w:vAlign w:val="center"/>
            <w:hideMark/>
          </w:tcPr>
          <w:p w14:paraId="7552210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França, n° 497- Granjas São José – Magé</w:t>
            </w:r>
          </w:p>
        </w:tc>
      </w:tr>
      <w:tr w:rsidR="00AB7C32" w:rsidRPr="00CB623E" w14:paraId="06F1FB0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4A75413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52</w:t>
            </w:r>
          </w:p>
        </w:tc>
        <w:tc>
          <w:tcPr>
            <w:tcW w:w="4340" w:type="dxa"/>
            <w:tcBorders>
              <w:top w:val="nil"/>
              <w:left w:val="nil"/>
              <w:bottom w:val="single" w:sz="4" w:space="0" w:color="auto"/>
              <w:right w:val="single" w:sz="4" w:space="0" w:color="auto"/>
            </w:tcBorders>
            <w:vAlign w:val="center"/>
            <w:hideMark/>
          </w:tcPr>
          <w:p w14:paraId="0F533B5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Profª Ana Lúcia Martins</w:t>
            </w:r>
          </w:p>
        </w:tc>
        <w:tc>
          <w:tcPr>
            <w:tcW w:w="4374" w:type="dxa"/>
            <w:tcBorders>
              <w:top w:val="nil"/>
              <w:left w:val="nil"/>
              <w:bottom w:val="single" w:sz="4" w:space="0" w:color="auto"/>
              <w:right w:val="single" w:sz="4" w:space="0" w:color="auto"/>
            </w:tcBorders>
            <w:vAlign w:val="center"/>
            <w:hideMark/>
          </w:tcPr>
          <w:p w14:paraId="07191F9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Capitão José de Paula, s/n° Centro – Suruí</w:t>
            </w:r>
          </w:p>
        </w:tc>
      </w:tr>
      <w:tr w:rsidR="00AB7C32" w:rsidRPr="00CB623E" w14:paraId="39079637"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0C37B30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53</w:t>
            </w:r>
          </w:p>
        </w:tc>
        <w:tc>
          <w:tcPr>
            <w:tcW w:w="4340" w:type="dxa"/>
            <w:tcBorders>
              <w:top w:val="nil"/>
              <w:left w:val="nil"/>
              <w:bottom w:val="single" w:sz="4" w:space="0" w:color="auto"/>
              <w:right w:val="single" w:sz="4" w:space="0" w:color="auto"/>
            </w:tcBorders>
            <w:vAlign w:val="center"/>
            <w:hideMark/>
          </w:tcPr>
          <w:p w14:paraId="4FDAEC1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 Aurea Maria Siqueira de Barcellos</w:t>
            </w:r>
          </w:p>
        </w:tc>
        <w:tc>
          <w:tcPr>
            <w:tcW w:w="4374" w:type="dxa"/>
            <w:tcBorders>
              <w:top w:val="nil"/>
              <w:left w:val="nil"/>
              <w:bottom w:val="single" w:sz="4" w:space="0" w:color="auto"/>
              <w:right w:val="single" w:sz="4" w:space="0" w:color="auto"/>
            </w:tcBorders>
            <w:vAlign w:val="center"/>
            <w:hideMark/>
          </w:tcPr>
          <w:p w14:paraId="1C9F966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Antônio Zarzur, nº 524 - Suruí</w:t>
            </w:r>
          </w:p>
        </w:tc>
      </w:tr>
      <w:tr w:rsidR="00AB7C32" w:rsidRPr="00CB623E" w14:paraId="4E953950"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731A909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54</w:t>
            </w:r>
          </w:p>
        </w:tc>
        <w:tc>
          <w:tcPr>
            <w:tcW w:w="4340" w:type="dxa"/>
            <w:tcBorders>
              <w:top w:val="nil"/>
              <w:left w:val="nil"/>
              <w:bottom w:val="single" w:sz="4" w:space="0" w:color="auto"/>
              <w:right w:val="single" w:sz="4" w:space="0" w:color="auto"/>
            </w:tcBorders>
            <w:vAlign w:val="center"/>
            <w:hideMark/>
          </w:tcPr>
          <w:p w14:paraId="5D29340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Diomar de Castro Silva</w:t>
            </w:r>
          </w:p>
        </w:tc>
        <w:tc>
          <w:tcPr>
            <w:tcW w:w="4374" w:type="dxa"/>
            <w:tcBorders>
              <w:top w:val="nil"/>
              <w:left w:val="nil"/>
              <w:bottom w:val="single" w:sz="4" w:space="0" w:color="auto"/>
              <w:right w:val="single" w:sz="4" w:space="0" w:color="auto"/>
            </w:tcBorders>
            <w:vAlign w:val="center"/>
            <w:hideMark/>
          </w:tcPr>
          <w:p w14:paraId="10BD446A" w14:textId="5C08CEF3"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Pça Dr. Mário Pinheiro, s/n° </w:t>
            </w:r>
            <w:r w:rsidR="00A052F8" w:rsidRPr="00CB623E">
              <w:rPr>
                <w:rFonts w:ascii="Times New Roman" w:eastAsia="Times New Roman" w:hAnsi="Times New Roman" w:cs="Times New Roman"/>
                <w:color w:val="000000"/>
              </w:rPr>
              <w:t>St. ª</w:t>
            </w:r>
            <w:r w:rsidRPr="00CB623E">
              <w:rPr>
                <w:rFonts w:ascii="Times New Roman" w:eastAsia="Times New Roman" w:hAnsi="Times New Roman" w:cs="Times New Roman"/>
                <w:color w:val="000000"/>
              </w:rPr>
              <w:t xml:space="preserve"> Dalila–Suruí-Magé</w:t>
            </w:r>
          </w:p>
        </w:tc>
      </w:tr>
      <w:tr w:rsidR="00AB7C32" w:rsidRPr="00CB623E" w14:paraId="6C7A42E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4DC494F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55</w:t>
            </w:r>
          </w:p>
        </w:tc>
        <w:tc>
          <w:tcPr>
            <w:tcW w:w="4340" w:type="dxa"/>
            <w:tcBorders>
              <w:top w:val="nil"/>
              <w:left w:val="nil"/>
              <w:bottom w:val="single" w:sz="4" w:space="0" w:color="auto"/>
              <w:right w:val="single" w:sz="4" w:space="0" w:color="auto"/>
            </w:tcBorders>
            <w:vAlign w:val="center"/>
            <w:hideMark/>
          </w:tcPr>
          <w:p w14:paraId="0993BEF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Profª Renée Pinto Barja</w:t>
            </w:r>
          </w:p>
        </w:tc>
        <w:tc>
          <w:tcPr>
            <w:tcW w:w="4374" w:type="dxa"/>
            <w:tcBorders>
              <w:top w:val="nil"/>
              <w:left w:val="nil"/>
              <w:bottom w:val="single" w:sz="4" w:space="0" w:color="auto"/>
              <w:right w:val="single" w:sz="4" w:space="0" w:color="auto"/>
            </w:tcBorders>
            <w:vAlign w:val="center"/>
            <w:hideMark/>
          </w:tcPr>
          <w:p w14:paraId="0410FD0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Profº Dilermano Reis, n° 121 – Rio do Ouro – Suruí</w:t>
            </w:r>
          </w:p>
        </w:tc>
      </w:tr>
      <w:tr w:rsidR="00AB7C32" w:rsidRPr="00CB623E" w14:paraId="2F84C23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92D050"/>
            <w:noWrap/>
            <w:vAlign w:val="center"/>
            <w:hideMark/>
          </w:tcPr>
          <w:p w14:paraId="2966BD8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56</w:t>
            </w:r>
          </w:p>
        </w:tc>
        <w:tc>
          <w:tcPr>
            <w:tcW w:w="4340" w:type="dxa"/>
            <w:tcBorders>
              <w:top w:val="nil"/>
              <w:left w:val="nil"/>
              <w:bottom w:val="single" w:sz="4" w:space="0" w:color="auto"/>
              <w:right w:val="single" w:sz="4" w:space="0" w:color="auto"/>
            </w:tcBorders>
            <w:vAlign w:val="center"/>
            <w:hideMark/>
          </w:tcPr>
          <w:p w14:paraId="6582349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Municipalizada Profª Ophélia R. Martins C.M.</w:t>
            </w:r>
          </w:p>
        </w:tc>
        <w:tc>
          <w:tcPr>
            <w:tcW w:w="4374" w:type="dxa"/>
            <w:tcBorders>
              <w:top w:val="nil"/>
              <w:left w:val="nil"/>
              <w:bottom w:val="single" w:sz="4" w:space="0" w:color="auto"/>
              <w:right w:val="single" w:sz="4" w:space="0" w:color="auto"/>
            </w:tcBorders>
            <w:vAlign w:val="center"/>
            <w:hideMark/>
          </w:tcPr>
          <w:p w14:paraId="4F278BE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Cel. Alarico J. do Amaral, n°463 – Suruí –Magé</w:t>
            </w:r>
          </w:p>
        </w:tc>
      </w:tr>
      <w:tr w:rsidR="00AB7C32" w:rsidRPr="00CB623E" w14:paraId="7FFE6C4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4E9527F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Nº</w:t>
            </w:r>
          </w:p>
        </w:tc>
        <w:tc>
          <w:tcPr>
            <w:tcW w:w="4340" w:type="dxa"/>
            <w:tcBorders>
              <w:top w:val="nil"/>
              <w:left w:val="nil"/>
              <w:bottom w:val="single" w:sz="4" w:space="0" w:color="auto"/>
              <w:right w:val="single" w:sz="4" w:space="0" w:color="auto"/>
            </w:tcBorders>
            <w:shd w:val="clear" w:color="000000" w:fill="E6B8B7"/>
            <w:vAlign w:val="center"/>
            <w:hideMark/>
          </w:tcPr>
          <w:p w14:paraId="4B2B752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UNIDADE ESCOLAR</w:t>
            </w:r>
          </w:p>
        </w:tc>
        <w:tc>
          <w:tcPr>
            <w:tcW w:w="4374" w:type="dxa"/>
            <w:tcBorders>
              <w:top w:val="nil"/>
              <w:left w:val="nil"/>
              <w:bottom w:val="single" w:sz="4" w:space="0" w:color="auto"/>
              <w:right w:val="single" w:sz="4" w:space="0" w:color="auto"/>
            </w:tcBorders>
            <w:shd w:val="clear" w:color="000000" w:fill="E6B8B7"/>
            <w:vAlign w:val="center"/>
            <w:hideMark/>
          </w:tcPr>
          <w:p w14:paraId="5D39BF5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ENDEREÇO</w:t>
            </w:r>
          </w:p>
        </w:tc>
      </w:tr>
      <w:tr w:rsidR="00AB7C32" w:rsidRPr="00CB623E" w14:paraId="11E90960"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E6B8B7"/>
            <w:vAlign w:val="center"/>
            <w:hideMark/>
          </w:tcPr>
          <w:p w14:paraId="5E8C119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57</w:t>
            </w:r>
          </w:p>
        </w:tc>
        <w:tc>
          <w:tcPr>
            <w:tcW w:w="4340" w:type="dxa"/>
            <w:tcBorders>
              <w:top w:val="nil"/>
              <w:left w:val="nil"/>
              <w:bottom w:val="single" w:sz="4" w:space="0" w:color="auto"/>
              <w:right w:val="single" w:sz="4" w:space="0" w:color="auto"/>
            </w:tcBorders>
            <w:vAlign w:val="center"/>
            <w:hideMark/>
          </w:tcPr>
          <w:p w14:paraId="3E8ACF9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Comandante Amaral Peixoto</w:t>
            </w:r>
          </w:p>
        </w:tc>
        <w:tc>
          <w:tcPr>
            <w:tcW w:w="4374" w:type="dxa"/>
            <w:tcBorders>
              <w:top w:val="nil"/>
              <w:left w:val="nil"/>
              <w:bottom w:val="single" w:sz="4" w:space="0" w:color="auto"/>
              <w:right w:val="single" w:sz="4" w:space="0" w:color="auto"/>
            </w:tcBorders>
            <w:vAlign w:val="center"/>
            <w:hideMark/>
          </w:tcPr>
          <w:p w14:paraId="6E4B1E4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Eva Ferreira, n° 275- Jd. da Paz – Mauá</w:t>
            </w:r>
          </w:p>
        </w:tc>
      </w:tr>
      <w:tr w:rsidR="00AB7C32" w:rsidRPr="00CB623E" w14:paraId="4618DD57"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341970B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tcBorders>
              <w:top w:val="nil"/>
              <w:left w:val="nil"/>
              <w:bottom w:val="single" w:sz="4" w:space="0" w:color="auto"/>
              <w:right w:val="single" w:sz="4" w:space="0" w:color="auto"/>
            </w:tcBorders>
            <w:vAlign w:val="center"/>
            <w:hideMark/>
          </w:tcPr>
          <w:p w14:paraId="4F05988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Erinéia Guedes – Nova)</w:t>
            </w:r>
          </w:p>
        </w:tc>
        <w:tc>
          <w:tcPr>
            <w:tcW w:w="4374" w:type="dxa"/>
            <w:tcBorders>
              <w:top w:val="nil"/>
              <w:left w:val="nil"/>
              <w:bottom w:val="single" w:sz="4" w:space="0" w:color="auto"/>
              <w:right w:val="single" w:sz="4" w:space="0" w:color="auto"/>
            </w:tcBorders>
            <w:vAlign w:val="center"/>
            <w:hideMark/>
          </w:tcPr>
          <w:p w14:paraId="24B89B61"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w:t>
            </w:r>
          </w:p>
        </w:tc>
      </w:tr>
      <w:tr w:rsidR="00AB7C32" w:rsidRPr="00CB623E" w14:paraId="12CE031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42F01BA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58</w:t>
            </w:r>
          </w:p>
        </w:tc>
        <w:tc>
          <w:tcPr>
            <w:tcW w:w="4340" w:type="dxa"/>
            <w:tcBorders>
              <w:top w:val="nil"/>
              <w:left w:val="nil"/>
              <w:bottom w:val="single" w:sz="4" w:space="0" w:color="auto"/>
              <w:right w:val="single" w:sz="4" w:space="0" w:color="auto"/>
            </w:tcBorders>
            <w:vAlign w:val="center"/>
            <w:hideMark/>
          </w:tcPr>
          <w:p w14:paraId="1062000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Horácio Silva Mello Filho</w:t>
            </w:r>
          </w:p>
        </w:tc>
        <w:tc>
          <w:tcPr>
            <w:tcW w:w="4374" w:type="dxa"/>
            <w:tcBorders>
              <w:top w:val="nil"/>
              <w:left w:val="nil"/>
              <w:bottom w:val="single" w:sz="4" w:space="0" w:color="auto"/>
              <w:right w:val="single" w:sz="4" w:space="0" w:color="auto"/>
            </w:tcBorders>
            <w:vAlign w:val="center"/>
            <w:hideMark/>
          </w:tcPr>
          <w:p w14:paraId="1AA8F4E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Nova de Mauá, n° 2.326 – Leque Azul – Mauá</w:t>
            </w:r>
          </w:p>
        </w:tc>
      </w:tr>
      <w:tr w:rsidR="00AB7C32" w:rsidRPr="00CB623E" w14:paraId="37DACDD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045A478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59</w:t>
            </w:r>
          </w:p>
        </w:tc>
        <w:tc>
          <w:tcPr>
            <w:tcW w:w="4340" w:type="dxa"/>
            <w:tcBorders>
              <w:top w:val="nil"/>
              <w:left w:val="nil"/>
              <w:bottom w:val="single" w:sz="4" w:space="0" w:color="auto"/>
              <w:right w:val="single" w:sz="4" w:space="0" w:color="auto"/>
            </w:tcBorders>
            <w:vAlign w:val="center"/>
            <w:hideMark/>
          </w:tcPr>
          <w:p w14:paraId="1675DCC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João Esperidião dos Santos</w:t>
            </w:r>
          </w:p>
        </w:tc>
        <w:tc>
          <w:tcPr>
            <w:tcW w:w="4374" w:type="dxa"/>
            <w:tcBorders>
              <w:top w:val="nil"/>
              <w:left w:val="nil"/>
              <w:bottom w:val="single" w:sz="4" w:space="0" w:color="auto"/>
              <w:right w:val="single" w:sz="4" w:space="0" w:color="auto"/>
            </w:tcBorders>
            <w:vAlign w:val="center"/>
            <w:hideMark/>
          </w:tcPr>
          <w:p w14:paraId="42A3B1F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Walter Ferreira, s/n° - São Lourenço – Mauá</w:t>
            </w:r>
          </w:p>
        </w:tc>
      </w:tr>
      <w:tr w:rsidR="00AB7C32" w:rsidRPr="00CB623E" w14:paraId="786E30A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6017DA3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60</w:t>
            </w:r>
          </w:p>
        </w:tc>
        <w:tc>
          <w:tcPr>
            <w:tcW w:w="4340" w:type="dxa"/>
            <w:tcBorders>
              <w:top w:val="nil"/>
              <w:left w:val="nil"/>
              <w:bottom w:val="single" w:sz="4" w:space="0" w:color="auto"/>
              <w:right w:val="single" w:sz="4" w:space="0" w:color="auto"/>
            </w:tcBorders>
            <w:vAlign w:val="center"/>
            <w:hideMark/>
          </w:tcPr>
          <w:p w14:paraId="0E1B6EC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Padre Gilmar de Castro</w:t>
            </w:r>
          </w:p>
        </w:tc>
        <w:tc>
          <w:tcPr>
            <w:tcW w:w="4374" w:type="dxa"/>
            <w:tcBorders>
              <w:top w:val="nil"/>
              <w:left w:val="nil"/>
              <w:bottom w:val="single" w:sz="4" w:space="0" w:color="auto"/>
              <w:right w:val="single" w:sz="4" w:space="0" w:color="auto"/>
            </w:tcBorders>
            <w:vAlign w:val="center"/>
            <w:hideMark/>
          </w:tcPr>
          <w:p w14:paraId="4D74EF3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Walter Ferreira s/n° - Praia de Mauá – Magé</w:t>
            </w:r>
          </w:p>
        </w:tc>
      </w:tr>
      <w:tr w:rsidR="00AB7C32" w:rsidRPr="00CB623E" w14:paraId="5665EBE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364DD20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61</w:t>
            </w:r>
          </w:p>
        </w:tc>
        <w:tc>
          <w:tcPr>
            <w:tcW w:w="4340" w:type="dxa"/>
            <w:tcBorders>
              <w:top w:val="nil"/>
              <w:left w:val="nil"/>
              <w:bottom w:val="single" w:sz="4" w:space="0" w:color="auto"/>
              <w:right w:val="single" w:sz="4" w:space="0" w:color="auto"/>
            </w:tcBorders>
            <w:vAlign w:val="center"/>
            <w:hideMark/>
          </w:tcPr>
          <w:p w14:paraId="62805D4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Paulo Freire</w:t>
            </w:r>
          </w:p>
        </w:tc>
        <w:tc>
          <w:tcPr>
            <w:tcW w:w="4374" w:type="dxa"/>
            <w:tcBorders>
              <w:top w:val="nil"/>
              <w:left w:val="nil"/>
              <w:bottom w:val="single" w:sz="4" w:space="0" w:color="auto"/>
              <w:right w:val="single" w:sz="4" w:space="0" w:color="auto"/>
            </w:tcBorders>
            <w:vAlign w:val="center"/>
            <w:hideMark/>
          </w:tcPr>
          <w:p w14:paraId="7187E9E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José Petri Neto - Praia de Mauá – Magé</w:t>
            </w:r>
          </w:p>
        </w:tc>
      </w:tr>
      <w:tr w:rsidR="00AB7C32" w:rsidRPr="00CB623E" w14:paraId="5AADD8C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1F17B67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62</w:t>
            </w:r>
          </w:p>
        </w:tc>
        <w:tc>
          <w:tcPr>
            <w:tcW w:w="4340" w:type="dxa"/>
            <w:tcBorders>
              <w:top w:val="nil"/>
              <w:left w:val="nil"/>
              <w:bottom w:val="single" w:sz="4" w:space="0" w:color="auto"/>
              <w:right w:val="single" w:sz="4" w:space="0" w:color="auto"/>
            </w:tcBorders>
            <w:vAlign w:val="center"/>
            <w:hideMark/>
          </w:tcPr>
          <w:p w14:paraId="6BBFB9E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Hilda da Silva Coelho</w:t>
            </w:r>
          </w:p>
        </w:tc>
        <w:tc>
          <w:tcPr>
            <w:tcW w:w="4374" w:type="dxa"/>
            <w:tcBorders>
              <w:top w:val="nil"/>
              <w:left w:val="nil"/>
              <w:bottom w:val="single" w:sz="4" w:space="0" w:color="auto"/>
              <w:right w:val="single" w:sz="4" w:space="0" w:color="auto"/>
            </w:tcBorders>
            <w:vAlign w:val="center"/>
            <w:hideMark/>
          </w:tcPr>
          <w:p w14:paraId="354B1E5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Real de Mauá, s/n° - Ipiranga – Mauá</w:t>
            </w:r>
          </w:p>
        </w:tc>
      </w:tr>
      <w:tr w:rsidR="00AB7C32" w:rsidRPr="00CB623E" w14:paraId="1937A0D0"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5A626DB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63</w:t>
            </w:r>
          </w:p>
        </w:tc>
        <w:tc>
          <w:tcPr>
            <w:tcW w:w="4340" w:type="dxa"/>
            <w:tcBorders>
              <w:top w:val="nil"/>
              <w:left w:val="nil"/>
              <w:bottom w:val="single" w:sz="4" w:space="0" w:color="auto"/>
              <w:right w:val="single" w:sz="4" w:space="0" w:color="auto"/>
            </w:tcBorders>
            <w:vAlign w:val="center"/>
            <w:hideMark/>
          </w:tcPr>
          <w:p w14:paraId="0D17BF0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Nilta Alonso de Medeiros</w:t>
            </w:r>
          </w:p>
        </w:tc>
        <w:tc>
          <w:tcPr>
            <w:tcW w:w="4374" w:type="dxa"/>
            <w:tcBorders>
              <w:top w:val="nil"/>
              <w:left w:val="nil"/>
              <w:bottom w:val="single" w:sz="4" w:space="0" w:color="auto"/>
              <w:right w:val="single" w:sz="4" w:space="0" w:color="auto"/>
            </w:tcBorders>
            <w:vAlign w:val="center"/>
            <w:hideMark/>
          </w:tcPr>
          <w:p w14:paraId="6308363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José Maria, n° 35 – Baia Branca- Mauá- Magé</w:t>
            </w:r>
          </w:p>
        </w:tc>
      </w:tr>
      <w:tr w:rsidR="00AB7C32" w:rsidRPr="00CB623E" w14:paraId="5B96843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0621069C"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lastRenderedPageBreak/>
              <w:t>64</w:t>
            </w:r>
          </w:p>
        </w:tc>
        <w:tc>
          <w:tcPr>
            <w:tcW w:w="4340" w:type="dxa"/>
            <w:tcBorders>
              <w:top w:val="nil"/>
              <w:left w:val="nil"/>
              <w:bottom w:val="single" w:sz="4" w:space="0" w:color="auto"/>
              <w:right w:val="single" w:sz="4" w:space="0" w:color="auto"/>
            </w:tcBorders>
            <w:vAlign w:val="center"/>
            <w:hideMark/>
          </w:tcPr>
          <w:p w14:paraId="3C07473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Vereador Paulo Barenco</w:t>
            </w:r>
          </w:p>
        </w:tc>
        <w:tc>
          <w:tcPr>
            <w:tcW w:w="4374" w:type="dxa"/>
            <w:tcBorders>
              <w:top w:val="nil"/>
              <w:left w:val="nil"/>
              <w:bottom w:val="single" w:sz="4" w:space="0" w:color="auto"/>
              <w:right w:val="single" w:sz="4" w:space="0" w:color="auto"/>
            </w:tcBorders>
            <w:vAlign w:val="center"/>
            <w:hideMark/>
          </w:tcPr>
          <w:p w14:paraId="7E44F4A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Castro Alves, n° 250- Praia de Olaria - Mauá</w:t>
            </w:r>
          </w:p>
        </w:tc>
      </w:tr>
      <w:tr w:rsidR="00AB7C32" w:rsidRPr="00CB623E" w14:paraId="28B4BB7C"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385AAEA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65</w:t>
            </w:r>
          </w:p>
        </w:tc>
        <w:tc>
          <w:tcPr>
            <w:tcW w:w="4340" w:type="dxa"/>
            <w:tcBorders>
              <w:top w:val="nil"/>
              <w:left w:val="nil"/>
              <w:bottom w:val="single" w:sz="4" w:space="0" w:color="auto"/>
              <w:right w:val="single" w:sz="4" w:space="0" w:color="auto"/>
            </w:tcBorders>
            <w:vAlign w:val="center"/>
            <w:hideMark/>
          </w:tcPr>
          <w:p w14:paraId="09EC49B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Maria do Carmo de Carvalho dos Santos</w:t>
            </w:r>
          </w:p>
        </w:tc>
        <w:tc>
          <w:tcPr>
            <w:tcW w:w="4374" w:type="dxa"/>
            <w:tcBorders>
              <w:top w:val="nil"/>
              <w:left w:val="nil"/>
              <w:bottom w:val="single" w:sz="4" w:space="0" w:color="auto"/>
              <w:right w:val="single" w:sz="4" w:space="0" w:color="auto"/>
            </w:tcBorders>
            <w:vAlign w:val="center"/>
            <w:hideMark/>
          </w:tcPr>
          <w:p w14:paraId="48D4B8A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Roberto Silveira, nº 351 - Praia do Imperador - Guia de Pacobaíba - Magé / RJ</w:t>
            </w:r>
          </w:p>
        </w:tc>
      </w:tr>
      <w:tr w:rsidR="00AB7C32" w:rsidRPr="00CB623E" w14:paraId="46E3F74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388941B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66</w:t>
            </w:r>
          </w:p>
        </w:tc>
        <w:tc>
          <w:tcPr>
            <w:tcW w:w="4340" w:type="dxa"/>
            <w:tcBorders>
              <w:top w:val="nil"/>
              <w:left w:val="nil"/>
              <w:bottom w:val="single" w:sz="4" w:space="0" w:color="auto"/>
              <w:right w:val="single" w:sz="4" w:space="0" w:color="auto"/>
            </w:tcBorders>
            <w:vAlign w:val="center"/>
            <w:hideMark/>
          </w:tcPr>
          <w:p w14:paraId="04AACFC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Edson Alves</w:t>
            </w:r>
          </w:p>
        </w:tc>
        <w:tc>
          <w:tcPr>
            <w:tcW w:w="4374" w:type="dxa"/>
            <w:tcBorders>
              <w:top w:val="nil"/>
              <w:left w:val="nil"/>
              <w:bottom w:val="single" w:sz="4" w:space="0" w:color="auto"/>
              <w:right w:val="single" w:sz="4" w:space="0" w:color="auto"/>
            </w:tcBorders>
            <w:vAlign w:val="center"/>
            <w:hideMark/>
          </w:tcPr>
          <w:p w14:paraId="27F1543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José Petri Neto s/n° - Mauá</w:t>
            </w:r>
          </w:p>
        </w:tc>
      </w:tr>
      <w:tr w:rsidR="00AB7C32" w:rsidRPr="00CB623E" w14:paraId="32BD792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32924F6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67</w:t>
            </w:r>
          </w:p>
        </w:tc>
        <w:tc>
          <w:tcPr>
            <w:tcW w:w="4340" w:type="dxa"/>
            <w:tcBorders>
              <w:top w:val="nil"/>
              <w:left w:val="nil"/>
              <w:bottom w:val="single" w:sz="4" w:space="0" w:color="auto"/>
              <w:right w:val="single" w:sz="4" w:space="0" w:color="auto"/>
            </w:tcBorders>
            <w:vAlign w:val="center"/>
            <w:hideMark/>
          </w:tcPr>
          <w:p w14:paraId="31FD493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João Esperidião dos Santos</w:t>
            </w:r>
          </w:p>
        </w:tc>
        <w:tc>
          <w:tcPr>
            <w:tcW w:w="4374" w:type="dxa"/>
            <w:tcBorders>
              <w:top w:val="nil"/>
              <w:left w:val="nil"/>
              <w:bottom w:val="single" w:sz="4" w:space="0" w:color="auto"/>
              <w:right w:val="single" w:sz="4" w:space="0" w:color="auto"/>
            </w:tcBorders>
            <w:vAlign w:val="center"/>
            <w:hideMark/>
          </w:tcPr>
          <w:p w14:paraId="5CEE5CD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Beira Mar, n° 58 – São Francisco – Mauá–Magé</w:t>
            </w:r>
          </w:p>
        </w:tc>
      </w:tr>
      <w:tr w:rsidR="00AB7C32" w:rsidRPr="00CB623E" w14:paraId="409CFC4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29DCCE8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68</w:t>
            </w:r>
          </w:p>
        </w:tc>
        <w:tc>
          <w:tcPr>
            <w:tcW w:w="4340" w:type="dxa"/>
            <w:tcBorders>
              <w:top w:val="nil"/>
              <w:left w:val="nil"/>
              <w:bottom w:val="single" w:sz="4" w:space="0" w:color="auto"/>
              <w:right w:val="single" w:sz="4" w:space="0" w:color="auto"/>
            </w:tcBorders>
            <w:vAlign w:val="center"/>
            <w:hideMark/>
          </w:tcPr>
          <w:p w14:paraId="16EC5F0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Edith Pieri</w:t>
            </w:r>
          </w:p>
        </w:tc>
        <w:tc>
          <w:tcPr>
            <w:tcW w:w="4374" w:type="dxa"/>
            <w:tcBorders>
              <w:top w:val="nil"/>
              <w:left w:val="nil"/>
              <w:bottom w:val="single" w:sz="4" w:space="0" w:color="auto"/>
              <w:right w:val="single" w:sz="4" w:space="0" w:color="auto"/>
            </w:tcBorders>
            <w:vAlign w:val="center"/>
            <w:hideMark/>
          </w:tcPr>
          <w:p w14:paraId="0506295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Real de Mauá, s/n° - Jd. da Paz – Mauá</w:t>
            </w:r>
          </w:p>
        </w:tc>
      </w:tr>
      <w:tr w:rsidR="00AB7C32" w:rsidRPr="00CB623E" w14:paraId="6FA18757"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6187FD2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69</w:t>
            </w:r>
          </w:p>
        </w:tc>
        <w:tc>
          <w:tcPr>
            <w:tcW w:w="4340" w:type="dxa"/>
            <w:tcBorders>
              <w:top w:val="nil"/>
              <w:left w:val="nil"/>
              <w:bottom w:val="single" w:sz="4" w:space="0" w:color="auto"/>
              <w:right w:val="single" w:sz="4" w:space="0" w:color="auto"/>
            </w:tcBorders>
            <w:vAlign w:val="center"/>
            <w:hideMark/>
          </w:tcPr>
          <w:p w14:paraId="3907793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Erinéia Guedes Cruz</w:t>
            </w:r>
          </w:p>
        </w:tc>
        <w:tc>
          <w:tcPr>
            <w:tcW w:w="4374" w:type="dxa"/>
            <w:tcBorders>
              <w:top w:val="nil"/>
              <w:left w:val="nil"/>
              <w:bottom w:val="single" w:sz="4" w:space="0" w:color="auto"/>
              <w:right w:val="single" w:sz="4" w:space="0" w:color="auto"/>
            </w:tcBorders>
            <w:vAlign w:val="center"/>
            <w:hideMark/>
          </w:tcPr>
          <w:p w14:paraId="6EC207B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Dr. Mota, n° 52 – Praia de Olaria – Mauá</w:t>
            </w:r>
          </w:p>
        </w:tc>
      </w:tr>
      <w:tr w:rsidR="00AB7C32" w:rsidRPr="00CB623E" w14:paraId="0410FFD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E6B8B7"/>
            <w:vAlign w:val="center"/>
            <w:hideMark/>
          </w:tcPr>
          <w:p w14:paraId="22D1FDA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70</w:t>
            </w:r>
          </w:p>
        </w:tc>
        <w:tc>
          <w:tcPr>
            <w:tcW w:w="4340" w:type="dxa"/>
            <w:tcBorders>
              <w:top w:val="nil"/>
              <w:left w:val="nil"/>
              <w:bottom w:val="single" w:sz="4" w:space="0" w:color="auto"/>
              <w:right w:val="single" w:sz="4" w:space="0" w:color="auto"/>
            </w:tcBorders>
            <w:vAlign w:val="center"/>
            <w:hideMark/>
          </w:tcPr>
          <w:p w14:paraId="6CFCE2F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Yanka R. Ximenes de Magalhães</w:t>
            </w:r>
          </w:p>
        </w:tc>
        <w:tc>
          <w:tcPr>
            <w:tcW w:w="4374" w:type="dxa"/>
            <w:tcBorders>
              <w:top w:val="nil"/>
              <w:left w:val="nil"/>
              <w:bottom w:val="single" w:sz="4" w:space="0" w:color="auto"/>
              <w:right w:val="single" w:sz="4" w:space="0" w:color="auto"/>
            </w:tcBorders>
            <w:vAlign w:val="center"/>
            <w:hideMark/>
          </w:tcPr>
          <w:p w14:paraId="3C9CA5E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Real de Mauá – n° 1464 – Jard. da Paz - Mauá</w:t>
            </w:r>
          </w:p>
        </w:tc>
      </w:tr>
      <w:tr w:rsidR="00AB7C32" w:rsidRPr="00CB623E" w14:paraId="596D94F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1973933"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Nº</w:t>
            </w:r>
          </w:p>
        </w:tc>
        <w:tc>
          <w:tcPr>
            <w:tcW w:w="4340" w:type="dxa"/>
            <w:tcBorders>
              <w:top w:val="nil"/>
              <w:left w:val="nil"/>
              <w:bottom w:val="single" w:sz="4" w:space="0" w:color="auto"/>
              <w:right w:val="single" w:sz="4" w:space="0" w:color="auto"/>
            </w:tcBorders>
            <w:shd w:val="clear" w:color="000000" w:fill="FFFF00"/>
            <w:vAlign w:val="center"/>
            <w:hideMark/>
          </w:tcPr>
          <w:p w14:paraId="217A02B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UNIDADE ESCOLAR</w:t>
            </w:r>
          </w:p>
        </w:tc>
        <w:tc>
          <w:tcPr>
            <w:tcW w:w="4374" w:type="dxa"/>
            <w:tcBorders>
              <w:top w:val="nil"/>
              <w:left w:val="nil"/>
              <w:bottom w:val="single" w:sz="4" w:space="0" w:color="auto"/>
              <w:right w:val="single" w:sz="4" w:space="0" w:color="auto"/>
            </w:tcBorders>
            <w:shd w:val="clear" w:color="000000" w:fill="FFFF00"/>
            <w:vAlign w:val="center"/>
            <w:hideMark/>
          </w:tcPr>
          <w:p w14:paraId="60C7E2C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b/>
                <w:bCs/>
                <w:color w:val="000000"/>
              </w:rPr>
            </w:pPr>
            <w:r w:rsidRPr="00CB623E">
              <w:rPr>
                <w:rFonts w:ascii="Times New Roman" w:eastAsia="Times New Roman" w:hAnsi="Times New Roman" w:cs="Times New Roman"/>
                <w:b/>
                <w:bCs/>
                <w:color w:val="000000"/>
              </w:rPr>
              <w:t>ENDEREÇO</w:t>
            </w:r>
          </w:p>
        </w:tc>
      </w:tr>
      <w:tr w:rsidR="00AB7C32" w:rsidRPr="00CB623E" w14:paraId="476794B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5BF8206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71</w:t>
            </w:r>
          </w:p>
        </w:tc>
        <w:tc>
          <w:tcPr>
            <w:tcW w:w="4340" w:type="dxa"/>
            <w:tcBorders>
              <w:top w:val="nil"/>
              <w:left w:val="nil"/>
              <w:bottom w:val="single" w:sz="4" w:space="0" w:color="auto"/>
              <w:right w:val="single" w:sz="4" w:space="0" w:color="auto"/>
            </w:tcBorders>
            <w:vAlign w:val="center"/>
            <w:hideMark/>
          </w:tcPr>
          <w:p w14:paraId="58FF8EA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Alzira Vargas do Amaral Peixoto</w:t>
            </w:r>
          </w:p>
        </w:tc>
        <w:tc>
          <w:tcPr>
            <w:tcW w:w="4374" w:type="dxa"/>
            <w:tcBorders>
              <w:top w:val="nil"/>
              <w:left w:val="nil"/>
              <w:bottom w:val="single" w:sz="4" w:space="0" w:color="auto"/>
              <w:right w:val="single" w:sz="4" w:space="0" w:color="auto"/>
            </w:tcBorders>
            <w:vAlign w:val="center"/>
            <w:hideMark/>
          </w:tcPr>
          <w:p w14:paraId="5F11170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Maria Mattos n° 112 Piabetá – Magé</w:t>
            </w:r>
          </w:p>
        </w:tc>
      </w:tr>
      <w:tr w:rsidR="00AB7C32" w:rsidRPr="00CB623E" w14:paraId="494B4F3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BC22E7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72</w:t>
            </w:r>
          </w:p>
        </w:tc>
        <w:tc>
          <w:tcPr>
            <w:tcW w:w="4340" w:type="dxa"/>
            <w:tcBorders>
              <w:top w:val="nil"/>
              <w:left w:val="nil"/>
              <w:bottom w:val="single" w:sz="4" w:space="0" w:color="auto"/>
              <w:right w:val="single" w:sz="4" w:space="0" w:color="auto"/>
            </w:tcBorders>
            <w:vAlign w:val="center"/>
            <w:hideMark/>
          </w:tcPr>
          <w:p w14:paraId="137D653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Aureliano Coutinho</w:t>
            </w:r>
          </w:p>
        </w:tc>
        <w:tc>
          <w:tcPr>
            <w:tcW w:w="4374" w:type="dxa"/>
            <w:tcBorders>
              <w:top w:val="nil"/>
              <w:left w:val="nil"/>
              <w:bottom w:val="single" w:sz="4" w:space="0" w:color="auto"/>
              <w:right w:val="single" w:sz="4" w:space="0" w:color="auto"/>
            </w:tcBorders>
            <w:vAlign w:val="center"/>
            <w:hideMark/>
          </w:tcPr>
          <w:p w14:paraId="4CA0F50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Municipal, s/n°- Piabetá – Magé</w:t>
            </w:r>
          </w:p>
        </w:tc>
      </w:tr>
      <w:tr w:rsidR="00AB7C32" w:rsidRPr="00CB623E" w14:paraId="4A39FD4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92C0F5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73</w:t>
            </w:r>
          </w:p>
        </w:tc>
        <w:tc>
          <w:tcPr>
            <w:tcW w:w="4340" w:type="dxa"/>
            <w:tcBorders>
              <w:top w:val="nil"/>
              <w:left w:val="nil"/>
              <w:bottom w:val="single" w:sz="4" w:space="0" w:color="auto"/>
              <w:right w:val="single" w:sz="4" w:space="0" w:color="auto"/>
            </w:tcBorders>
            <w:noWrap/>
            <w:vAlign w:val="center"/>
            <w:hideMark/>
          </w:tcPr>
          <w:p w14:paraId="5A551BD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Bruno Rodrigues</w:t>
            </w:r>
          </w:p>
        </w:tc>
        <w:tc>
          <w:tcPr>
            <w:tcW w:w="4374" w:type="dxa"/>
            <w:tcBorders>
              <w:top w:val="nil"/>
              <w:left w:val="nil"/>
              <w:bottom w:val="single" w:sz="4" w:space="0" w:color="auto"/>
              <w:right w:val="single" w:sz="4" w:space="0" w:color="auto"/>
            </w:tcBorders>
            <w:noWrap/>
            <w:vAlign w:val="center"/>
            <w:hideMark/>
          </w:tcPr>
          <w:p w14:paraId="0E1A4A3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 da Cachoeirinha, s/n° Pau Grande – Piabetá</w:t>
            </w:r>
          </w:p>
        </w:tc>
      </w:tr>
      <w:tr w:rsidR="00AB7C32" w:rsidRPr="00CB623E" w14:paraId="2E825C3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DB5DD3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74</w:t>
            </w:r>
          </w:p>
        </w:tc>
        <w:tc>
          <w:tcPr>
            <w:tcW w:w="4340" w:type="dxa"/>
            <w:tcBorders>
              <w:top w:val="nil"/>
              <w:left w:val="nil"/>
              <w:bottom w:val="single" w:sz="4" w:space="0" w:color="auto"/>
              <w:right w:val="single" w:sz="4" w:space="0" w:color="auto"/>
            </w:tcBorders>
            <w:noWrap/>
            <w:vAlign w:val="center"/>
            <w:hideMark/>
          </w:tcPr>
          <w:p w14:paraId="34F453B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Antônio da Rocha Paranhos</w:t>
            </w:r>
          </w:p>
        </w:tc>
        <w:tc>
          <w:tcPr>
            <w:tcW w:w="4374" w:type="dxa"/>
            <w:tcBorders>
              <w:top w:val="nil"/>
              <w:left w:val="nil"/>
              <w:bottom w:val="single" w:sz="4" w:space="0" w:color="auto"/>
              <w:right w:val="single" w:sz="4" w:space="0" w:color="auto"/>
            </w:tcBorders>
            <w:vAlign w:val="center"/>
            <w:hideMark/>
          </w:tcPr>
          <w:p w14:paraId="1C3C209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Praça Paranhos, n° 30 – Paranhos – Piabetá – Magé</w:t>
            </w:r>
          </w:p>
        </w:tc>
      </w:tr>
      <w:tr w:rsidR="00AB7C32" w:rsidRPr="00CB623E" w14:paraId="5CF3819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5A189E9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75</w:t>
            </w:r>
          </w:p>
        </w:tc>
        <w:tc>
          <w:tcPr>
            <w:tcW w:w="4340" w:type="dxa"/>
            <w:tcBorders>
              <w:top w:val="nil"/>
              <w:left w:val="nil"/>
              <w:bottom w:val="single" w:sz="4" w:space="0" w:color="auto"/>
              <w:right w:val="single" w:sz="4" w:space="0" w:color="auto"/>
            </w:tcBorders>
            <w:vAlign w:val="center"/>
            <w:hideMark/>
          </w:tcPr>
          <w:p w14:paraId="7D8812C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Doutor Domingos Bellizzi</w:t>
            </w:r>
          </w:p>
        </w:tc>
        <w:tc>
          <w:tcPr>
            <w:tcW w:w="4374" w:type="dxa"/>
            <w:tcBorders>
              <w:top w:val="nil"/>
              <w:left w:val="nil"/>
              <w:bottom w:val="single" w:sz="4" w:space="0" w:color="auto"/>
              <w:right w:val="single" w:sz="4" w:space="0" w:color="auto"/>
            </w:tcBorders>
            <w:vAlign w:val="center"/>
            <w:hideMark/>
          </w:tcPr>
          <w:p w14:paraId="6845C1B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Est.do Contorno, Km 10- Vila Recreio – Piabetá</w:t>
            </w:r>
          </w:p>
        </w:tc>
      </w:tr>
      <w:tr w:rsidR="00AB7C32" w:rsidRPr="00CB623E" w14:paraId="7B8F083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4C057C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76</w:t>
            </w:r>
          </w:p>
        </w:tc>
        <w:tc>
          <w:tcPr>
            <w:tcW w:w="4340" w:type="dxa"/>
            <w:tcBorders>
              <w:top w:val="nil"/>
              <w:left w:val="nil"/>
              <w:bottom w:val="single" w:sz="4" w:space="0" w:color="auto"/>
              <w:right w:val="single" w:sz="4" w:space="0" w:color="auto"/>
            </w:tcBorders>
            <w:vAlign w:val="center"/>
            <w:hideMark/>
          </w:tcPr>
          <w:p w14:paraId="61F51F4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Eny da Silva – CIEP Nação Ianomame</w:t>
            </w:r>
          </w:p>
        </w:tc>
        <w:tc>
          <w:tcPr>
            <w:tcW w:w="4374" w:type="dxa"/>
            <w:tcBorders>
              <w:top w:val="nil"/>
              <w:left w:val="nil"/>
              <w:bottom w:val="single" w:sz="4" w:space="0" w:color="auto"/>
              <w:right w:val="single" w:sz="4" w:space="0" w:color="auto"/>
            </w:tcBorders>
            <w:vAlign w:val="center"/>
            <w:hideMark/>
          </w:tcPr>
          <w:p w14:paraId="13BE9FE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Irmão Schneider, s/n° Pq. Maitá – Piabetá</w:t>
            </w:r>
          </w:p>
        </w:tc>
      </w:tr>
      <w:tr w:rsidR="00AB7C32" w:rsidRPr="00CB623E" w14:paraId="0C6BE78C"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93C2B0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77</w:t>
            </w:r>
          </w:p>
        </w:tc>
        <w:tc>
          <w:tcPr>
            <w:tcW w:w="4340" w:type="dxa"/>
            <w:tcBorders>
              <w:top w:val="nil"/>
              <w:left w:val="nil"/>
              <w:bottom w:val="single" w:sz="4" w:space="0" w:color="auto"/>
              <w:right w:val="single" w:sz="4" w:space="0" w:color="auto"/>
            </w:tcBorders>
            <w:noWrap/>
            <w:vAlign w:val="center"/>
            <w:hideMark/>
          </w:tcPr>
          <w:p w14:paraId="544AC89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Gandur Assed</w:t>
            </w:r>
          </w:p>
        </w:tc>
        <w:tc>
          <w:tcPr>
            <w:tcW w:w="4374" w:type="dxa"/>
            <w:tcBorders>
              <w:top w:val="nil"/>
              <w:left w:val="nil"/>
              <w:bottom w:val="single" w:sz="4" w:space="0" w:color="auto"/>
              <w:right w:val="single" w:sz="4" w:space="0" w:color="auto"/>
            </w:tcBorders>
            <w:vAlign w:val="center"/>
            <w:hideMark/>
          </w:tcPr>
          <w:p w14:paraId="53FD182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01, s/n° Pq. Sayonara – Fragoso – Piabetá</w:t>
            </w:r>
          </w:p>
        </w:tc>
      </w:tr>
      <w:tr w:rsidR="00AB7C32" w:rsidRPr="00CB623E" w14:paraId="14B04488"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29E97D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78</w:t>
            </w:r>
          </w:p>
        </w:tc>
        <w:tc>
          <w:tcPr>
            <w:tcW w:w="4340" w:type="dxa"/>
            <w:tcBorders>
              <w:top w:val="nil"/>
              <w:left w:val="nil"/>
              <w:bottom w:val="single" w:sz="4" w:space="0" w:color="auto"/>
              <w:right w:val="single" w:sz="4" w:space="0" w:color="auto"/>
            </w:tcBorders>
            <w:vAlign w:val="center"/>
            <w:hideMark/>
          </w:tcPr>
          <w:p w14:paraId="3933CC8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Geralda Alves da Silva</w:t>
            </w:r>
          </w:p>
        </w:tc>
        <w:tc>
          <w:tcPr>
            <w:tcW w:w="4374" w:type="dxa"/>
            <w:tcBorders>
              <w:top w:val="nil"/>
              <w:left w:val="nil"/>
              <w:bottom w:val="single" w:sz="4" w:space="0" w:color="auto"/>
              <w:right w:val="single" w:sz="4" w:space="0" w:color="auto"/>
            </w:tcBorders>
            <w:vAlign w:val="center"/>
            <w:hideMark/>
          </w:tcPr>
          <w:p w14:paraId="1339299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Guarani, n° 1978 – Piabetá – Magé</w:t>
            </w:r>
          </w:p>
        </w:tc>
      </w:tr>
      <w:tr w:rsidR="00AB7C32" w:rsidRPr="00CB623E" w14:paraId="30A04A2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941D77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79</w:t>
            </w:r>
          </w:p>
        </w:tc>
        <w:tc>
          <w:tcPr>
            <w:tcW w:w="4340" w:type="dxa"/>
            <w:tcBorders>
              <w:top w:val="nil"/>
              <w:left w:val="nil"/>
              <w:bottom w:val="single" w:sz="4" w:space="0" w:color="auto"/>
              <w:right w:val="single" w:sz="4" w:space="0" w:color="auto"/>
            </w:tcBorders>
            <w:noWrap/>
            <w:vAlign w:val="center"/>
            <w:hideMark/>
          </w:tcPr>
          <w:p w14:paraId="7DF4DE8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Geralda Izaura Ferreira Telles</w:t>
            </w:r>
          </w:p>
        </w:tc>
        <w:tc>
          <w:tcPr>
            <w:tcW w:w="4374" w:type="dxa"/>
            <w:tcBorders>
              <w:top w:val="nil"/>
              <w:left w:val="nil"/>
              <w:bottom w:val="single" w:sz="4" w:space="0" w:color="auto"/>
              <w:right w:val="single" w:sz="4" w:space="0" w:color="auto"/>
            </w:tcBorders>
            <w:vAlign w:val="center"/>
            <w:hideMark/>
          </w:tcPr>
          <w:p w14:paraId="360AC90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santos Dumont, s/n° - Pq. Santana - Piabetá</w:t>
            </w:r>
          </w:p>
        </w:tc>
      </w:tr>
      <w:tr w:rsidR="00AB7C32" w:rsidRPr="00CB623E" w14:paraId="70293BA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1049DCF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80</w:t>
            </w:r>
          </w:p>
        </w:tc>
        <w:tc>
          <w:tcPr>
            <w:tcW w:w="4340" w:type="dxa"/>
            <w:tcBorders>
              <w:top w:val="nil"/>
              <w:left w:val="nil"/>
              <w:bottom w:val="single" w:sz="4" w:space="0" w:color="auto"/>
              <w:right w:val="single" w:sz="4" w:space="0" w:color="auto"/>
            </w:tcBorders>
            <w:vAlign w:val="center"/>
            <w:hideMark/>
          </w:tcPr>
          <w:p w14:paraId="7CAFA46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Horácio José de Paiva</w:t>
            </w:r>
          </w:p>
        </w:tc>
        <w:tc>
          <w:tcPr>
            <w:tcW w:w="4374" w:type="dxa"/>
            <w:tcBorders>
              <w:top w:val="nil"/>
              <w:left w:val="nil"/>
              <w:bottom w:val="single" w:sz="4" w:space="0" w:color="auto"/>
              <w:right w:val="single" w:sz="4" w:space="0" w:color="auto"/>
            </w:tcBorders>
            <w:vAlign w:val="center"/>
            <w:hideMark/>
          </w:tcPr>
          <w:p w14:paraId="79441DF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Cel. Raimundo Borges, s/n° - Raiz da Serra</w:t>
            </w:r>
          </w:p>
        </w:tc>
      </w:tr>
      <w:tr w:rsidR="00AB7C32" w:rsidRPr="00CB623E" w14:paraId="4820CE0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78E34B7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81</w:t>
            </w:r>
          </w:p>
        </w:tc>
        <w:tc>
          <w:tcPr>
            <w:tcW w:w="4340" w:type="dxa"/>
            <w:tcBorders>
              <w:top w:val="nil"/>
              <w:left w:val="nil"/>
              <w:bottom w:val="single" w:sz="4" w:space="0" w:color="auto"/>
              <w:right w:val="single" w:sz="4" w:space="0" w:color="auto"/>
            </w:tcBorders>
            <w:noWrap/>
            <w:vAlign w:val="center"/>
            <w:hideMark/>
          </w:tcPr>
          <w:p w14:paraId="42D3ED2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João Rodrigues</w:t>
            </w:r>
          </w:p>
        </w:tc>
        <w:tc>
          <w:tcPr>
            <w:tcW w:w="4374" w:type="dxa"/>
            <w:tcBorders>
              <w:top w:val="nil"/>
              <w:left w:val="nil"/>
              <w:bottom w:val="single" w:sz="4" w:space="0" w:color="auto"/>
              <w:right w:val="single" w:sz="4" w:space="0" w:color="auto"/>
            </w:tcBorders>
            <w:vAlign w:val="center"/>
            <w:hideMark/>
          </w:tcPr>
          <w:p w14:paraId="573CC20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Marisa Prado, 274 – Pq. dos Artistas–Piabetá</w:t>
            </w:r>
          </w:p>
        </w:tc>
      </w:tr>
      <w:tr w:rsidR="00AB7C32" w:rsidRPr="00CB623E" w14:paraId="1E22F28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D8DF5A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82</w:t>
            </w:r>
          </w:p>
        </w:tc>
        <w:tc>
          <w:tcPr>
            <w:tcW w:w="4340" w:type="dxa"/>
            <w:tcBorders>
              <w:top w:val="nil"/>
              <w:left w:val="nil"/>
              <w:bottom w:val="single" w:sz="4" w:space="0" w:color="auto"/>
              <w:right w:val="single" w:sz="4" w:space="0" w:color="auto"/>
            </w:tcBorders>
            <w:noWrap/>
            <w:vAlign w:val="center"/>
            <w:hideMark/>
          </w:tcPr>
          <w:p w14:paraId="3A16109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Mané Garrincha</w:t>
            </w:r>
          </w:p>
        </w:tc>
        <w:tc>
          <w:tcPr>
            <w:tcW w:w="4374" w:type="dxa"/>
            <w:tcBorders>
              <w:top w:val="nil"/>
              <w:left w:val="nil"/>
              <w:bottom w:val="single" w:sz="4" w:space="0" w:color="auto"/>
              <w:right w:val="single" w:sz="4" w:space="0" w:color="auto"/>
            </w:tcBorders>
            <w:vAlign w:val="center"/>
            <w:hideMark/>
          </w:tcPr>
          <w:p w14:paraId="7B8638A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Antônio ribeiro Seabra, s/n° - Pau Grande</w:t>
            </w:r>
          </w:p>
        </w:tc>
      </w:tr>
      <w:tr w:rsidR="00AB7C32" w:rsidRPr="00CB623E" w14:paraId="1C8F4321"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DBFEB6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83</w:t>
            </w:r>
          </w:p>
        </w:tc>
        <w:tc>
          <w:tcPr>
            <w:tcW w:w="4340" w:type="dxa"/>
            <w:tcBorders>
              <w:top w:val="nil"/>
              <w:left w:val="nil"/>
              <w:bottom w:val="single" w:sz="4" w:space="0" w:color="auto"/>
              <w:right w:val="single" w:sz="4" w:space="0" w:color="auto"/>
            </w:tcBorders>
            <w:noWrap/>
            <w:vAlign w:val="center"/>
            <w:hideMark/>
          </w:tcPr>
          <w:p w14:paraId="06B7BD7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Marcílio Dias</w:t>
            </w:r>
          </w:p>
        </w:tc>
        <w:tc>
          <w:tcPr>
            <w:tcW w:w="4374" w:type="dxa"/>
            <w:tcBorders>
              <w:top w:val="nil"/>
              <w:left w:val="nil"/>
              <w:bottom w:val="single" w:sz="4" w:space="0" w:color="auto"/>
              <w:right w:val="single" w:sz="4" w:space="0" w:color="auto"/>
            </w:tcBorders>
            <w:vAlign w:val="center"/>
            <w:hideMark/>
          </w:tcPr>
          <w:p w14:paraId="51ED5F2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 da Cachoeirinha Grande, s/n° - Piabetá–Magé</w:t>
            </w:r>
          </w:p>
        </w:tc>
      </w:tr>
      <w:tr w:rsidR="00AB7C32" w:rsidRPr="00CB623E" w14:paraId="607D91E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F0EFBDD"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84</w:t>
            </w:r>
          </w:p>
        </w:tc>
        <w:tc>
          <w:tcPr>
            <w:tcW w:w="4340" w:type="dxa"/>
            <w:tcBorders>
              <w:top w:val="nil"/>
              <w:left w:val="nil"/>
              <w:bottom w:val="single" w:sz="4" w:space="0" w:color="auto"/>
              <w:right w:val="single" w:sz="4" w:space="0" w:color="auto"/>
            </w:tcBorders>
            <w:noWrap/>
            <w:vAlign w:val="center"/>
            <w:hideMark/>
          </w:tcPr>
          <w:p w14:paraId="3CE133F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Maria da Penha Marçal</w:t>
            </w:r>
          </w:p>
        </w:tc>
        <w:tc>
          <w:tcPr>
            <w:tcW w:w="4374" w:type="dxa"/>
            <w:tcBorders>
              <w:top w:val="nil"/>
              <w:left w:val="nil"/>
              <w:bottom w:val="single" w:sz="4" w:space="0" w:color="auto"/>
              <w:right w:val="single" w:sz="4" w:space="0" w:color="auto"/>
            </w:tcBorders>
            <w:vAlign w:val="center"/>
            <w:hideMark/>
          </w:tcPr>
          <w:p w14:paraId="2692522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Bolonha, s/n° Lt. 35 – Parque Veneza – Piabetá</w:t>
            </w:r>
          </w:p>
        </w:tc>
      </w:tr>
      <w:tr w:rsidR="00AB7C32" w:rsidRPr="00CB623E" w14:paraId="70D4DEF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C52FBEC"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85</w:t>
            </w:r>
          </w:p>
        </w:tc>
        <w:tc>
          <w:tcPr>
            <w:tcW w:w="4340" w:type="dxa"/>
            <w:tcBorders>
              <w:top w:val="nil"/>
              <w:left w:val="nil"/>
              <w:bottom w:val="single" w:sz="4" w:space="0" w:color="auto"/>
              <w:right w:val="single" w:sz="4" w:space="0" w:color="auto"/>
            </w:tcBorders>
            <w:vAlign w:val="center"/>
            <w:hideMark/>
          </w:tcPr>
          <w:p w14:paraId="26975EA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Denise Malinosky</w:t>
            </w:r>
          </w:p>
        </w:tc>
        <w:tc>
          <w:tcPr>
            <w:tcW w:w="4374" w:type="dxa"/>
            <w:tcBorders>
              <w:top w:val="nil"/>
              <w:left w:val="nil"/>
              <w:bottom w:val="single" w:sz="4" w:space="0" w:color="auto"/>
              <w:right w:val="single" w:sz="4" w:space="0" w:color="auto"/>
            </w:tcBorders>
            <w:vAlign w:val="center"/>
            <w:hideMark/>
          </w:tcPr>
          <w:p w14:paraId="181634C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Nossa Senhora da Guia</w:t>
            </w:r>
          </w:p>
        </w:tc>
      </w:tr>
      <w:tr w:rsidR="00AB7C32" w:rsidRPr="00CB623E" w14:paraId="54BE789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17B0499"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86</w:t>
            </w:r>
          </w:p>
        </w:tc>
        <w:tc>
          <w:tcPr>
            <w:tcW w:w="4340" w:type="dxa"/>
            <w:tcBorders>
              <w:top w:val="nil"/>
              <w:left w:val="nil"/>
              <w:bottom w:val="single" w:sz="4" w:space="0" w:color="auto"/>
              <w:right w:val="single" w:sz="4" w:space="0" w:color="auto"/>
            </w:tcBorders>
            <w:noWrap/>
            <w:vAlign w:val="center"/>
            <w:hideMark/>
          </w:tcPr>
          <w:p w14:paraId="576C2B1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 Daniel Soares Silva</w:t>
            </w:r>
          </w:p>
        </w:tc>
        <w:tc>
          <w:tcPr>
            <w:tcW w:w="4374" w:type="dxa"/>
            <w:tcBorders>
              <w:top w:val="nil"/>
              <w:left w:val="nil"/>
              <w:bottom w:val="single" w:sz="4" w:space="0" w:color="auto"/>
              <w:right w:val="single" w:sz="4" w:space="0" w:color="auto"/>
            </w:tcBorders>
            <w:vAlign w:val="center"/>
            <w:hideMark/>
          </w:tcPr>
          <w:p w14:paraId="6BBDCC1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automóvel Club- Jardim nazareno – Piabetá</w:t>
            </w:r>
          </w:p>
        </w:tc>
      </w:tr>
      <w:tr w:rsidR="00AB7C32" w:rsidRPr="00CB623E" w14:paraId="07B6ADB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A24BF60"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87</w:t>
            </w:r>
          </w:p>
        </w:tc>
        <w:tc>
          <w:tcPr>
            <w:tcW w:w="4340" w:type="dxa"/>
            <w:tcBorders>
              <w:top w:val="nil"/>
              <w:left w:val="nil"/>
              <w:bottom w:val="single" w:sz="4" w:space="0" w:color="auto"/>
              <w:right w:val="single" w:sz="4" w:space="0" w:color="auto"/>
            </w:tcBorders>
            <w:noWrap/>
            <w:vAlign w:val="center"/>
            <w:hideMark/>
          </w:tcPr>
          <w:p w14:paraId="5ECE982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Profª Adriana da Silva Pires</w:t>
            </w:r>
          </w:p>
        </w:tc>
        <w:tc>
          <w:tcPr>
            <w:tcW w:w="4374" w:type="dxa"/>
            <w:tcBorders>
              <w:top w:val="nil"/>
              <w:left w:val="nil"/>
              <w:bottom w:val="single" w:sz="4" w:space="0" w:color="auto"/>
              <w:right w:val="single" w:sz="4" w:space="0" w:color="auto"/>
            </w:tcBorders>
            <w:vAlign w:val="center"/>
            <w:hideMark/>
          </w:tcPr>
          <w:p w14:paraId="36AFAE3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H, n° 11 – Vila Serrana – Fragoso - Magé</w:t>
            </w:r>
          </w:p>
        </w:tc>
      </w:tr>
      <w:tr w:rsidR="00AB7C32" w:rsidRPr="00CB623E" w14:paraId="77B7F4EE"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6325BD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88</w:t>
            </w:r>
          </w:p>
        </w:tc>
        <w:tc>
          <w:tcPr>
            <w:tcW w:w="4340" w:type="dxa"/>
            <w:tcBorders>
              <w:top w:val="nil"/>
              <w:left w:val="nil"/>
              <w:bottom w:val="single" w:sz="4" w:space="0" w:color="auto"/>
              <w:right w:val="single" w:sz="4" w:space="0" w:color="auto"/>
            </w:tcBorders>
            <w:vAlign w:val="center"/>
            <w:hideMark/>
          </w:tcPr>
          <w:p w14:paraId="54F9CFD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Alice da Silva S. de Paiva</w:t>
            </w:r>
          </w:p>
        </w:tc>
        <w:tc>
          <w:tcPr>
            <w:tcW w:w="4374" w:type="dxa"/>
            <w:tcBorders>
              <w:top w:val="nil"/>
              <w:left w:val="nil"/>
              <w:bottom w:val="single" w:sz="4" w:space="0" w:color="auto"/>
              <w:right w:val="single" w:sz="4" w:space="0" w:color="auto"/>
            </w:tcBorders>
            <w:vAlign w:val="center"/>
            <w:hideMark/>
          </w:tcPr>
          <w:p w14:paraId="0EA8818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1, n° 353 Jd. Novo Horizonte – Piabetá/Magé</w:t>
            </w:r>
          </w:p>
        </w:tc>
      </w:tr>
      <w:tr w:rsidR="00AB7C32" w:rsidRPr="00CB623E" w14:paraId="45326A4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73C4D2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89</w:t>
            </w:r>
          </w:p>
        </w:tc>
        <w:tc>
          <w:tcPr>
            <w:tcW w:w="4340" w:type="dxa"/>
            <w:tcBorders>
              <w:top w:val="nil"/>
              <w:left w:val="nil"/>
              <w:bottom w:val="single" w:sz="4" w:space="0" w:color="auto"/>
              <w:right w:val="single" w:sz="4" w:space="0" w:color="auto"/>
            </w:tcBorders>
            <w:vAlign w:val="center"/>
            <w:hideMark/>
          </w:tcPr>
          <w:p w14:paraId="0F69241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Elza Teixeira de Paiva</w:t>
            </w:r>
          </w:p>
        </w:tc>
        <w:tc>
          <w:tcPr>
            <w:tcW w:w="4374" w:type="dxa"/>
            <w:tcBorders>
              <w:top w:val="nil"/>
              <w:left w:val="nil"/>
              <w:bottom w:val="single" w:sz="4" w:space="0" w:color="auto"/>
              <w:right w:val="single" w:sz="4" w:space="0" w:color="auto"/>
            </w:tcBorders>
            <w:vAlign w:val="center"/>
            <w:hideMark/>
          </w:tcPr>
          <w:p w14:paraId="4F9A6C6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Maria Cristina, 155 – Buraco da Onça–Piabetá</w:t>
            </w:r>
          </w:p>
        </w:tc>
      </w:tr>
      <w:tr w:rsidR="00AB7C32" w:rsidRPr="00CB623E" w14:paraId="6B4499F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A253DA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90</w:t>
            </w:r>
          </w:p>
        </w:tc>
        <w:tc>
          <w:tcPr>
            <w:tcW w:w="4340" w:type="dxa"/>
            <w:tcBorders>
              <w:top w:val="nil"/>
              <w:left w:val="nil"/>
              <w:bottom w:val="single" w:sz="4" w:space="0" w:color="auto"/>
              <w:right w:val="single" w:sz="4" w:space="0" w:color="auto"/>
            </w:tcBorders>
            <w:noWrap/>
            <w:vAlign w:val="center"/>
            <w:hideMark/>
          </w:tcPr>
          <w:p w14:paraId="41BA16A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Jupira Ferreira Correa</w:t>
            </w:r>
          </w:p>
        </w:tc>
        <w:tc>
          <w:tcPr>
            <w:tcW w:w="4374" w:type="dxa"/>
            <w:tcBorders>
              <w:top w:val="nil"/>
              <w:left w:val="nil"/>
              <w:bottom w:val="single" w:sz="4" w:space="0" w:color="auto"/>
              <w:right w:val="single" w:sz="4" w:space="0" w:color="auto"/>
            </w:tcBorders>
            <w:vAlign w:val="center"/>
            <w:hideMark/>
          </w:tcPr>
          <w:p w14:paraId="1B04550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Caramuru – Piabetá – Magé</w:t>
            </w:r>
          </w:p>
        </w:tc>
      </w:tr>
      <w:tr w:rsidR="00AB7C32" w:rsidRPr="00CB623E" w14:paraId="37688891"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1D3C4EA"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91</w:t>
            </w:r>
          </w:p>
        </w:tc>
        <w:tc>
          <w:tcPr>
            <w:tcW w:w="4340" w:type="dxa"/>
            <w:tcBorders>
              <w:top w:val="nil"/>
              <w:left w:val="nil"/>
              <w:bottom w:val="single" w:sz="4" w:space="0" w:color="auto"/>
              <w:right w:val="single" w:sz="4" w:space="0" w:color="auto"/>
            </w:tcBorders>
            <w:vAlign w:val="center"/>
            <w:hideMark/>
          </w:tcPr>
          <w:p w14:paraId="74362EB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Renata Franco Pereira</w:t>
            </w:r>
          </w:p>
        </w:tc>
        <w:tc>
          <w:tcPr>
            <w:tcW w:w="4374" w:type="dxa"/>
            <w:tcBorders>
              <w:top w:val="nil"/>
              <w:left w:val="nil"/>
              <w:bottom w:val="single" w:sz="4" w:space="0" w:color="auto"/>
              <w:right w:val="single" w:sz="4" w:space="0" w:color="auto"/>
            </w:tcBorders>
            <w:vAlign w:val="center"/>
            <w:hideMark/>
          </w:tcPr>
          <w:p w14:paraId="5DABA11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Manoel Paulo de Farias, s/n° Lot. Paraguai- Fragoso</w:t>
            </w:r>
          </w:p>
        </w:tc>
      </w:tr>
      <w:tr w:rsidR="00AB7C32" w:rsidRPr="00CB623E" w14:paraId="51A4107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04BFAD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92</w:t>
            </w:r>
          </w:p>
        </w:tc>
        <w:tc>
          <w:tcPr>
            <w:tcW w:w="4340" w:type="dxa"/>
            <w:tcBorders>
              <w:top w:val="nil"/>
              <w:left w:val="nil"/>
              <w:bottom w:val="single" w:sz="4" w:space="0" w:color="auto"/>
              <w:right w:val="single" w:sz="4" w:space="0" w:color="auto"/>
            </w:tcBorders>
            <w:vAlign w:val="center"/>
            <w:hideMark/>
          </w:tcPr>
          <w:p w14:paraId="3DE3E87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Professora Roseni dos Santos Silva</w:t>
            </w:r>
          </w:p>
        </w:tc>
        <w:tc>
          <w:tcPr>
            <w:tcW w:w="4374" w:type="dxa"/>
            <w:tcBorders>
              <w:top w:val="nil"/>
              <w:left w:val="nil"/>
              <w:bottom w:val="single" w:sz="4" w:space="0" w:color="auto"/>
              <w:right w:val="single" w:sz="4" w:space="0" w:color="auto"/>
            </w:tcBorders>
            <w:vAlign w:val="center"/>
            <w:hideMark/>
          </w:tcPr>
          <w:p w14:paraId="6B5A2AE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Nilo Peçanha, n° 111 – Ponte Preta - Piabetá</w:t>
            </w:r>
          </w:p>
        </w:tc>
      </w:tr>
      <w:tr w:rsidR="00AB7C32" w:rsidRPr="00CB623E" w14:paraId="545CCBD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1E19AB1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93</w:t>
            </w:r>
          </w:p>
        </w:tc>
        <w:tc>
          <w:tcPr>
            <w:tcW w:w="4340" w:type="dxa"/>
            <w:tcBorders>
              <w:top w:val="nil"/>
              <w:left w:val="nil"/>
              <w:bottom w:val="single" w:sz="4" w:space="0" w:color="auto"/>
              <w:right w:val="single" w:sz="4" w:space="0" w:color="auto"/>
            </w:tcBorders>
            <w:vAlign w:val="center"/>
            <w:hideMark/>
          </w:tcPr>
          <w:p w14:paraId="59C5216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Tiradentes</w:t>
            </w:r>
          </w:p>
        </w:tc>
        <w:tc>
          <w:tcPr>
            <w:tcW w:w="4374" w:type="dxa"/>
            <w:tcBorders>
              <w:top w:val="nil"/>
              <w:left w:val="nil"/>
              <w:bottom w:val="single" w:sz="4" w:space="0" w:color="auto"/>
              <w:right w:val="single" w:sz="4" w:space="0" w:color="auto"/>
            </w:tcBorders>
            <w:vAlign w:val="center"/>
            <w:hideMark/>
          </w:tcPr>
          <w:p w14:paraId="7A9ECE3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11 de Julho, s/n° Pq. Estrela – Magé</w:t>
            </w:r>
          </w:p>
        </w:tc>
      </w:tr>
      <w:tr w:rsidR="00AB7C32" w:rsidRPr="00CB623E" w14:paraId="0A97300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7054610"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94</w:t>
            </w:r>
          </w:p>
        </w:tc>
        <w:tc>
          <w:tcPr>
            <w:tcW w:w="4340" w:type="dxa"/>
            <w:tcBorders>
              <w:top w:val="nil"/>
              <w:left w:val="nil"/>
              <w:bottom w:val="single" w:sz="4" w:space="0" w:color="auto"/>
              <w:right w:val="single" w:sz="4" w:space="0" w:color="auto"/>
            </w:tcBorders>
            <w:vAlign w:val="center"/>
            <w:hideMark/>
          </w:tcPr>
          <w:p w14:paraId="705D7B7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Vereador Antônio Garcia Filho</w:t>
            </w:r>
          </w:p>
        </w:tc>
        <w:tc>
          <w:tcPr>
            <w:tcW w:w="4374" w:type="dxa"/>
            <w:tcBorders>
              <w:top w:val="nil"/>
              <w:left w:val="nil"/>
              <w:bottom w:val="single" w:sz="4" w:space="0" w:color="auto"/>
              <w:right w:val="single" w:sz="4" w:space="0" w:color="auto"/>
            </w:tcBorders>
            <w:vAlign w:val="center"/>
            <w:hideMark/>
          </w:tcPr>
          <w:p w14:paraId="4D55C7F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Nossa Senhora da Guia, s/n° - Piabetá – Magé</w:t>
            </w:r>
          </w:p>
        </w:tc>
      </w:tr>
      <w:tr w:rsidR="00AB7C32" w:rsidRPr="00CB623E" w14:paraId="05A924A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5199BF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95</w:t>
            </w:r>
          </w:p>
        </w:tc>
        <w:tc>
          <w:tcPr>
            <w:tcW w:w="4340" w:type="dxa"/>
            <w:tcBorders>
              <w:top w:val="nil"/>
              <w:left w:val="nil"/>
              <w:bottom w:val="single" w:sz="4" w:space="0" w:color="auto"/>
              <w:right w:val="single" w:sz="4" w:space="0" w:color="auto"/>
            </w:tcBorders>
            <w:noWrap/>
            <w:vAlign w:val="center"/>
            <w:hideMark/>
          </w:tcPr>
          <w:p w14:paraId="2281010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Vereador Geraldo Ângelo Pereira</w:t>
            </w:r>
          </w:p>
        </w:tc>
        <w:tc>
          <w:tcPr>
            <w:tcW w:w="4374" w:type="dxa"/>
            <w:tcBorders>
              <w:top w:val="nil"/>
              <w:left w:val="nil"/>
              <w:bottom w:val="single" w:sz="4" w:space="0" w:color="auto"/>
              <w:right w:val="single" w:sz="4" w:space="0" w:color="auto"/>
            </w:tcBorders>
            <w:vAlign w:val="center"/>
            <w:hideMark/>
          </w:tcPr>
          <w:p w14:paraId="4A1199D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Praça Carlos de Souza, s/n° - Fragoso – Piabetá</w:t>
            </w:r>
          </w:p>
        </w:tc>
      </w:tr>
      <w:tr w:rsidR="00AB7C32" w:rsidRPr="00CB623E" w14:paraId="00CF73B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4EFA68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96</w:t>
            </w:r>
          </w:p>
        </w:tc>
        <w:tc>
          <w:tcPr>
            <w:tcW w:w="4340" w:type="dxa"/>
            <w:tcBorders>
              <w:top w:val="nil"/>
              <w:left w:val="nil"/>
              <w:bottom w:val="single" w:sz="4" w:space="0" w:color="auto"/>
              <w:right w:val="single" w:sz="4" w:space="0" w:color="auto"/>
            </w:tcBorders>
            <w:noWrap/>
            <w:vAlign w:val="center"/>
            <w:hideMark/>
          </w:tcPr>
          <w:p w14:paraId="38D3978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Flávia Sampaio da Silva Ribeiro de Brito</w:t>
            </w:r>
          </w:p>
        </w:tc>
        <w:tc>
          <w:tcPr>
            <w:tcW w:w="4374" w:type="dxa"/>
            <w:tcBorders>
              <w:top w:val="nil"/>
              <w:left w:val="nil"/>
              <w:bottom w:val="single" w:sz="4" w:space="0" w:color="auto"/>
              <w:right w:val="single" w:sz="4" w:space="0" w:color="auto"/>
            </w:tcBorders>
            <w:vAlign w:val="center"/>
            <w:hideMark/>
          </w:tcPr>
          <w:p w14:paraId="2868E8C4" w14:textId="6C687C4E"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Rua Profº Averback, </w:t>
            </w:r>
            <w:r w:rsidR="005B209A" w:rsidRPr="00CB623E">
              <w:rPr>
                <w:rFonts w:ascii="Times New Roman" w:eastAsia="Times New Roman" w:hAnsi="Times New Roman" w:cs="Times New Roman"/>
                <w:color w:val="000000"/>
              </w:rPr>
              <w:t>Lt 676 -</w:t>
            </w:r>
            <w:r w:rsidRPr="00CB623E">
              <w:rPr>
                <w:rFonts w:ascii="Times New Roman" w:eastAsia="Times New Roman" w:hAnsi="Times New Roman" w:cs="Times New Roman"/>
                <w:color w:val="000000"/>
              </w:rPr>
              <w:t xml:space="preserve"> Fragoso - (</w:t>
            </w:r>
            <w:r w:rsidR="005B209A" w:rsidRPr="00CB623E">
              <w:rPr>
                <w:rFonts w:ascii="Times New Roman" w:eastAsia="Times New Roman" w:hAnsi="Times New Roman" w:cs="Times New Roman"/>
                <w:color w:val="000000"/>
              </w:rPr>
              <w:t>Antiga Rua</w:t>
            </w:r>
            <w:r w:rsidRPr="00CB623E">
              <w:rPr>
                <w:rFonts w:ascii="Times New Roman" w:eastAsia="Times New Roman" w:hAnsi="Times New Roman" w:cs="Times New Roman"/>
                <w:color w:val="000000"/>
              </w:rPr>
              <w:t xml:space="preserve"> S)</w:t>
            </w:r>
          </w:p>
        </w:tc>
      </w:tr>
      <w:tr w:rsidR="00AB7C32" w:rsidRPr="00CB623E" w14:paraId="73FE3B4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196B7C1"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97</w:t>
            </w:r>
          </w:p>
        </w:tc>
        <w:tc>
          <w:tcPr>
            <w:tcW w:w="4340" w:type="dxa"/>
            <w:tcBorders>
              <w:top w:val="nil"/>
              <w:left w:val="nil"/>
              <w:bottom w:val="single" w:sz="4" w:space="0" w:color="auto"/>
              <w:right w:val="single" w:sz="4" w:space="0" w:color="auto"/>
            </w:tcBorders>
            <w:vAlign w:val="center"/>
            <w:hideMark/>
          </w:tcPr>
          <w:p w14:paraId="7E14282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E.M. Profª Luciana de Almeida Branco</w:t>
            </w:r>
          </w:p>
        </w:tc>
        <w:tc>
          <w:tcPr>
            <w:tcW w:w="4374" w:type="dxa"/>
            <w:tcBorders>
              <w:top w:val="nil"/>
              <w:left w:val="nil"/>
              <w:bottom w:val="single" w:sz="4" w:space="0" w:color="auto"/>
              <w:right w:val="single" w:sz="4" w:space="0" w:color="auto"/>
            </w:tcBorders>
            <w:vAlign w:val="center"/>
            <w:hideMark/>
          </w:tcPr>
          <w:p w14:paraId="6655389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19, nº10, Maurimarcia CEP: 25930780</w:t>
            </w:r>
          </w:p>
        </w:tc>
      </w:tr>
      <w:tr w:rsidR="00AB7C32" w:rsidRPr="00CB623E" w14:paraId="69A6178E"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FFFF00"/>
            <w:vAlign w:val="center"/>
            <w:hideMark/>
          </w:tcPr>
          <w:p w14:paraId="7B34C0D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98</w:t>
            </w:r>
          </w:p>
        </w:tc>
        <w:tc>
          <w:tcPr>
            <w:tcW w:w="4340" w:type="dxa"/>
            <w:vMerge w:val="restart"/>
            <w:tcBorders>
              <w:top w:val="nil"/>
              <w:left w:val="single" w:sz="4" w:space="0" w:color="auto"/>
              <w:bottom w:val="single" w:sz="4" w:space="0" w:color="auto"/>
              <w:right w:val="single" w:sz="4" w:space="0" w:color="auto"/>
            </w:tcBorders>
            <w:vAlign w:val="center"/>
            <w:hideMark/>
          </w:tcPr>
          <w:p w14:paraId="31D8202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 Pólo de Educação de Jovens e Adultos Semipresencial</w:t>
            </w:r>
          </w:p>
        </w:tc>
        <w:tc>
          <w:tcPr>
            <w:tcW w:w="4374" w:type="dxa"/>
            <w:tcBorders>
              <w:top w:val="nil"/>
              <w:left w:val="nil"/>
              <w:bottom w:val="single" w:sz="4" w:space="0" w:color="auto"/>
              <w:right w:val="single" w:sz="4" w:space="0" w:color="auto"/>
            </w:tcBorders>
            <w:vAlign w:val="center"/>
            <w:hideMark/>
          </w:tcPr>
          <w:p w14:paraId="4B5541D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Av. Santos Dumond, s/n – Piabetá -Magé RJ</w:t>
            </w:r>
          </w:p>
        </w:tc>
      </w:tr>
      <w:tr w:rsidR="00AB7C32" w:rsidRPr="00CB623E" w14:paraId="0FEE2CDD"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23E28532"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vMerge/>
            <w:tcBorders>
              <w:top w:val="nil"/>
              <w:left w:val="single" w:sz="4" w:space="0" w:color="auto"/>
              <w:bottom w:val="single" w:sz="4" w:space="0" w:color="auto"/>
              <w:right w:val="single" w:sz="4" w:space="0" w:color="auto"/>
            </w:tcBorders>
            <w:vAlign w:val="center"/>
            <w:hideMark/>
          </w:tcPr>
          <w:p w14:paraId="441C842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74" w:type="dxa"/>
            <w:tcBorders>
              <w:top w:val="nil"/>
              <w:left w:val="nil"/>
              <w:bottom w:val="single" w:sz="4" w:space="0" w:color="auto"/>
              <w:right w:val="single" w:sz="4" w:space="0" w:color="auto"/>
            </w:tcBorders>
            <w:vAlign w:val="center"/>
            <w:hideMark/>
          </w:tcPr>
          <w:p w14:paraId="15061CA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CEP: 25.931-758</w:t>
            </w:r>
          </w:p>
        </w:tc>
      </w:tr>
      <w:tr w:rsidR="00AB7C32" w:rsidRPr="00CB623E" w14:paraId="007C2165"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F3BC5F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99</w:t>
            </w:r>
          </w:p>
        </w:tc>
        <w:tc>
          <w:tcPr>
            <w:tcW w:w="4340" w:type="dxa"/>
            <w:tcBorders>
              <w:top w:val="nil"/>
              <w:left w:val="nil"/>
              <w:bottom w:val="single" w:sz="4" w:space="0" w:color="auto"/>
              <w:right w:val="single" w:sz="4" w:space="0" w:color="auto"/>
            </w:tcBorders>
            <w:vAlign w:val="center"/>
            <w:hideMark/>
          </w:tcPr>
          <w:p w14:paraId="732690F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Nilce Aguiar Pinto</w:t>
            </w:r>
          </w:p>
        </w:tc>
        <w:tc>
          <w:tcPr>
            <w:tcW w:w="4374" w:type="dxa"/>
            <w:tcBorders>
              <w:top w:val="nil"/>
              <w:left w:val="nil"/>
              <w:bottom w:val="single" w:sz="4" w:space="0" w:color="auto"/>
              <w:right w:val="single" w:sz="4" w:space="0" w:color="auto"/>
            </w:tcBorders>
            <w:vAlign w:val="center"/>
            <w:hideMark/>
          </w:tcPr>
          <w:p w14:paraId="29940D5A" w14:textId="2DA1C014"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Avenida Governador Roberto </w:t>
            </w:r>
            <w:r w:rsidR="005B209A" w:rsidRPr="00CB623E">
              <w:rPr>
                <w:rFonts w:ascii="Times New Roman" w:eastAsia="Times New Roman" w:hAnsi="Times New Roman" w:cs="Times New Roman"/>
                <w:color w:val="000000"/>
              </w:rPr>
              <w:t>Silveira, Buraco</w:t>
            </w:r>
            <w:r w:rsidRPr="00CB623E">
              <w:rPr>
                <w:rFonts w:ascii="Times New Roman" w:eastAsia="Times New Roman" w:hAnsi="Times New Roman" w:cs="Times New Roman"/>
                <w:color w:val="000000"/>
              </w:rPr>
              <w:t xml:space="preserve"> da Onça - Vila Carvalho</w:t>
            </w:r>
          </w:p>
        </w:tc>
      </w:tr>
      <w:tr w:rsidR="00AB7C32" w:rsidRPr="00CB623E" w14:paraId="2E2231C2"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3519E22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100</w:t>
            </w:r>
          </w:p>
        </w:tc>
        <w:tc>
          <w:tcPr>
            <w:tcW w:w="4340" w:type="dxa"/>
            <w:tcBorders>
              <w:top w:val="nil"/>
              <w:left w:val="nil"/>
              <w:bottom w:val="single" w:sz="4" w:space="0" w:color="auto"/>
              <w:right w:val="single" w:sz="4" w:space="0" w:color="auto"/>
            </w:tcBorders>
            <w:vAlign w:val="center"/>
            <w:hideMark/>
          </w:tcPr>
          <w:p w14:paraId="3D05D06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 M. Vera Lúcia Ferreira Simões</w:t>
            </w:r>
          </w:p>
        </w:tc>
        <w:tc>
          <w:tcPr>
            <w:tcW w:w="4374" w:type="dxa"/>
            <w:tcBorders>
              <w:top w:val="nil"/>
              <w:left w:val="nil"/>
              <w:bottom w:val="single" w:sz="4" w:space="0" w:color="auto"/>
              <w:right w:val="single" w:sz="4" w:space="0" w:color="auto"/>
            </w:tcBorders>
            <w:vAlign w:val="center"/>
            <w:hideMark/>
          </w:tcPr>
          <w:p w14:paraId="2319DE4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Mário Xavier de Brito, n° 221, Barro Fragoso</w:t>
            </w:r>
          </w:p>
        </w:tc>
      </w:tr>
      <w:tr w:rsidR="00AB7C32" w:rsidRPr="00CB623E" w14:paraId="68A3B16B"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70DB992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lastRenderedPageBreak/>
              <w:t>101</w:t>
            </w:r>
          </w:p>
        </w:tc>
        <w:tc>
          <w:tcPr>
            <w:tcW w:w="4340" w:type="dxa"/>
            <w:tcBorders>
              <w:top w:val="nil"/>
              <w:left w:val="nil"/>
              <w:bottom w:val="single" w:sz="4" w:space="0" w:color="auto"/>
              <w:right w:val="single" w:sz="4" w:space="0" w:color="auto"/>
            </w:tcBorders>
            <w:noWrap/>
            <w:vAlign w:val="center"/>
            <w:hideMark/>
          </w:tcPr>
          <w:p w14:paraId="3390019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C.M. Profª Wanda Mustrange Franco</w:t>
            </w:r>
          </w:p>
        </w:tc>
        <w:tc>
          <w:tcPr>
            <w:tcW w:w="4374" w:type="dxa"/>
            <w:tcBorders>
              <w:top w:val="nil"/>
              <w:left w:val="nil"/>
              <w:bottom w:val="single" w:sz="4" w:space="0" w:color="auto"/>
              <w:right w:val="single" w:sz="4" w:space="0" w:color="auto"/>
            </w:tcBorders>
            <w:vAlign w:val="center"/>
            <w:hideMark/>
          </w:tcPr>
          <w:p w14:paraId="3699677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C, s/nº - Loteamento Paraguai - Fragoso – Magé</w:t>
            </w:r>
          </w:p>
        </w:tc>
      </w:tr>
      <w:tr w:rsidR="00AB7C32" w:rsidRPr="00CB623E" w14:paraId="5DAB581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ADA325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102</w:t>
            </w:r>
          </w:p>
        </w:tc>
        <w:tc>
          <w:tcPr>
            <w:tcW w:w="4340" w:type="dxa"/>
            <w:tcBorders>
              <w:top w:val="nil"/>
              <w:left w:val="nil"/>
              <w:bottom w:val="single" w:sz="4" w:space="0" w:color="auto"/>
              <w:right w:val="single" w:sz="4" w:space="0" w:color="auto"/>
            </w:tcBorders>
            <w:noWrap/>
            <w:vAlign w:val="center"/>
            <w:hideMark/>
          </w:tcPr>
          <w:p w14:paraId="4FC9C643"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Aracy da Silva Correa</w:t>
            </w:r>
          </w:p>
        </w:tc>
        <w:tc>
          <w:tcPr>
            <w:tcW w:w="4374" w:type="dxa"/>
            <w:tcBorders>
              <w:top w:val="nil"/>
              <w:left w:val="nil"/>
              <w:bottom w:val="single" w:sz="4" w:space="0" w:color="auto"/>
              <w:right w:val="single" w:sz="4" w:space="0" w:color="auto"/>
            </w:tcBorders>
            <w:vAlign w:val="center"/>
            <w:hideMark/>
          </w:tcPr>
          <w:p w14:paraId="0AC7DB0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A, s/° - Fragoso – Piabetá – Magé</w:t>
            </w:r>
          </w:p>
        </w:tc>
      </w:tr>
      <w:tr w:rsidR="00AB7C32" w:rsidRPr="00CB623E" w14:paraId="746A522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115F3E6E"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103</w:t>
            </w:r>
          </w:p>
        </w:tc>
        <w:tc>
          <w:tcPr>
            <w:tcW w:w="4340" w:type="dxa"/>
            <w:tcBorders>
              <w:top w:val="nil"/>
              <w:left w:val="nil"/>
              <w:bottom w:val="single" w:sz="4" w:space="0" w:color="auto"/>
              <w:right w:val="single" w:sz="4" w:space="0" w:color="auto"/>
            </w:tcBorders>
            <w:noWrap/>
            <w:vAlign w:val="center"/>
            <w:hideMark/>
          </w:tcPr>
          <w:p w14:paraId="0DEAADC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Esmeralda Farias Pereira</w:t>
            </w:r>
          </w:p>
        </w:tc>
        <w:tc>
          <w:tcPr>
            <w:tcW w:w="4374" w:type="dxa"/>
            <w:tcBorders>
              <w:top w:val="nil"/>
              <w:left w:val="nil"/>
              <w:bottom w:val="single" w:sz="4" w:space="0" w:color="auto"/>
              <w:right w:val="single" w:sz="4" w:space="0" w:color="auto"/>
            </w:tcBorders>
            <w:vAlign w:val="center"/>
            <w:hideMark/>
          </w:tcPr>
          <w:p w14:paraId="7F1A288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Feliciano Nascimento,121-Piabetá-Magé</w:t>
            </w:r>
          </w:p>
        </w:tc>
      </w:tr>
      <w:tr w:rsidR="00AB7C32" w:rsidRPr="00CB623E" w14:paraId="75AE738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DDF8F5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104</w:t>
            </w:r>
          </w:p>
        </w:tc>
        <w:tc>
          <w:tcPr>
            <w:tcW w:w="4340" w:type="dxa"/>
            <w:tcBorders>
              <w:top w:val="nil"/>
              <w:left w:val="nil"/>
              <w:bottom w:val="single" w:sz="4" w:space="0" w:color="auto"/>
              <w:right w:val="single" w:sz="4" w:space="0" w:color="auto"/>
            </w:tcBorders>
            <w:noWrap/>
            <w:vAlign w:val="center"/>
            <w:hideMark/>
          </w:tcPr>
          <w:p w14:paraId="748BEF4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C.M José de Oliveira Telles</w:t>
            </w:r>
          </w:p>
        </w:tc>
        <w:tc>
          <w:tcPr>
            <w:tcW w:w="4374" w:type="dxa"/>
            <w:tcBorders>
              <w:top w:val="nil"/>
              <w:left w:val="nil"/>
              <w:bottom w:val="single" w:sz="4" w:space="0" w:color="auto"/>
              <w:right w:val="single" w:sz="4" w:space="0" w:color="auto"/>
            </w:tcBorders>
            <w:vAlign w:val="center"/>
            <w:hideMark/>
          </w:tcPr>
          <w:p w14:paraId="3767406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Expedicionário Octacílio de Souza s/nº Fragoso</w:t>
            </w:r>
          </w:p>
        </w:tc>
      </w:tr>
      <w:tr w:rsidR="00AB7C32" w:rsidRPr="00CB623E" w14:paraId="637804E4"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093368C"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105</w:t>
            </w:r>
          </w:p>
        </w:tc>
        <w:tc>
          <w:tcPr>
            <w:tcW w:w="4340" w:type="dxa"/>
            <w:tcBorders>
              <w:top w:val="nil"/>
              <w:left w:val="nil"/>
              <w:bottom w:val="single" w:sz="4" w:space="0" w:color="auto"/>
              <w:right w:val="single" w:sz="4" w:space="0" w:color="auto"/>
            </w:tcBorders>
            <w:noWrap/>
            <w:vAlign w:val="center"/>
            <w:hideMark/>
          </w:tcPr>
          <w:p w14:paraId="6AA0625D"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Geralda Izaura Ferreira Telles</w:t>
            </w:r>
          </w:p>
        </w:tc>
        <w:tc>
          <w:tcPr>
            <w:tcW w:w="4374" w:type="dxa"/>
            <w:tcBorders>
              <w:top w:val="nil"/>
              <w:left w:val="nil"/>
              <w:bottom w:val="single" w:sz="4" w:space="0" w:color="auto"/>
              <w:right w:val="single" w:sz="4" w:space="0" w:color="auto"/>
            </w:tcBorders>
            <w:vAlign w:val="center"/>
            <w:hideMark/>
          </w:tcPr>
          <w:p w14:paraId="25EA6AE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E, n° 947 – Pq. Santana – Piabetá – Magé</w:t>
            </w:r>
          </w:p>
        </w:tc>
      </w:tr>
      <w:tr w:rsidR="00AB7C32" w:rsidRPr="00CB623E" w14:paraId="2BD93F1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E60916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106</w:t>
            </w:r>
          </w:p>
        </w:tc>
        <w:tc>
          <w:tcPr>
            <w:tcW w:w="4340" w:type="dxa"/>
            <w:tcBorders>
              <w:top w:val="nil"/>
              <w:left w:val="nil"/>
              <w:bottom w:val="single" w:sz="4" w:space="0" w:color="auto"/>
              <w:right w:val="single" w:sz="4" w:space="0" w:color="auto"/>
            </w:tcBorders>
            <w:noWrap/>
            <w:vAlign w:val="center"/>
            <w:hideMark/>
          </w:tcPr>
          <w:p w14:paraId="29B69F1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Mansão das Rosas</w:t>
            </w:r>
          </w:p>
        </w:tc>
        <w:tc>
          <w:tcPr>
            <w:tcW w:w="4374" w:type="dxa"/>
            <w:tcBorders>
              <w:top w:val="nil"/>
              <w:left w:val="nil"/>
              <w:bottom w:val="single" w:sz="4" w:space="0" w:color="auto"/>
              <w:right w:val="single" w:sz="4" w:space="0" w:color="auto"/>
            </w:tcBorders>
            <w:vAlign w:val="center"/>
            <w:hideMark/>
          </w:tcPr>
          <w:p w14:paraId="5E030A0E"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Recreio, 34 – Ponte Preta – Piabetá _ Magé</w:t>
            </w:r>
          </w:p>
        </w:tc>
      </w:tr>
      <w:tr w:rsidR="00AB7C32" w:rsidRPr="00CB623E" w14:paraId="76CD5D0E" w14:textId="77777777" w:rsidTr="00B95D2B">
        <w:trPr>
          <w:trHeight w:val="28"/>
          <w:jc w:val="center"/>
        </w:trPr>
        <w:tc>
          <w:tcPr>
            <w:tcW w:w="642" w:type="dxa"/>
            <w:vMerge w:val="restart"/>
            <w:tcBorders>
              <w:top w:val="nil"/>
              <w:left w:val="single" w:sz="4" w:space="0" w:color="auto"/>
              <w:bottom w:val="single" w:sz="4" w:space="0" w:color="auto"/>
              <w:right w:val="single" w:sz="4" w:space="0" w:color="auto"/>
            </w:tcBorders>
            <w:shd w:val="clear" w:color="000000" w:fill="FFFF00"/>
            <w:vAlign w:val="center"/>
            <w:hideMark/>
          </w:tcPr>
          <w:p w14:paraId="48557E70"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107</w:t>
            </w:r>
          </w:p>
        </w:tc>
        <w:tc>
          <w:tcPr>
            <w:tcW w:w="4340" w:type="dxa"/>
            <w:tcBorders>
              <w:top w:val="nil"/>
              <w:left w:val="nil"/>
              <w:bottom w:val="single" w:sz="4" w:space="0" w:color="auto"/>
              <w:right w:val="single" w:sz="4" w:space="0" w:color="auto"/>
            </w:tcBorders>
            <w:vAlign w:val="center"/>
            <w:hideMark/>
          </w:tcPr>
          <w:p w14:paraId="12E073E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Maria Pires Araújo</w:t>
            </w:r>
          </w:p>
        </w:tc>
        <w:tc>
          <w:tcPr>
            <w:tcW w:w="4374" w:type="dxa"/>
            <w:vMerge w:val="restart"/>
            <w:tcBorders>
              <w:top w:val="nil"/>
              <w:left w:val="single" w:sz="4" w:space="0" w:color="auto"/>
              <w:bottom w:val="single" w:sz="4" w:space="0" w:color="auto"/>
              <w:right w:val="single" w:sz="4" w:space="0" w:color="auto"/>
            </w:tcBorders>
            <w:vAlign w:val="center"/>
            <w:hideMark/>
          </w:tcPr>
          <w:p w14:paraId="47CBC10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09, Lt. 27, Qd. 24 Piabetá - Magé</w:t>
            </w:r>
          </w:p>
        </w:tc>
      </w:tr>
      <w:tr w:rsidR="00AB7C32" w:rsidRPr="00CB623E" w14:paraId="4FC7EA8A" w14:textId="77777777" w:rsidTr="00B95D2B">
        <w:trPr>
          <w:trHeight w:val="28"/>
          <w:jc w:val="center"/>
        </w:trPr>
        <w:tc>
          <w:tcPr>
            <w:tcW w:w="642" w:type="dxa"/>
            <w:vMerge/>
            <w:tcBorders>
              <w:top w:val="nil"/>
              <w:left w:val="single" w:sz="4" w:space="0" w:color="auto"/>
              <w:bottom w:val="single" w:sz="4" w:space="0" w:color="auto"/>
              <w:right w:val="single" w:sz="4" w:space="0" w:color="auto"/>
            </w:tcBorders>
            <w:vAlign w:val="center"/>
            <w:hideMark/>
          </w:tcPr>
          <w:p w14:paraId="3F77D600"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c>
          <w:tcPr>
            <w:tcW w:w="4340" w:type="dxa"/>
            <w:tcBorders>
              <w:top w:val="nil"/>
              <w:left w:val="nil"/>
              <w:bottom w:val="single" w:sz="4" w:space="0" w:color="auto"/>
              <w:right w:val="single" w:sz="4" w:space="0" w:color="auto"/>
            </w:tcBorders>
            <w:vAlign w:val="center"/>
            <w:hideMark/>
          </w:tcPr>
          <w:p w14:paraId="735997D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Ursinhos Carinhosos (antiga)</w:t>
            </w:r>
          </w:p>
        </w:tc>
        <w:tc>
          <w:tcPr>
            <w:tcW w:w="4374" w:type="dxa"/>
            <w:vMerge/>
            <w:tcBorders>
              <w:top w:val="nil"/>
              <w:left w:val="single" w:sz="4" w:space="0" w:color="auto"/>
              <w:bottom w:val="single" w:sz="4" w:space="0" w:color="auto"/>
              <w:right w:val="single" w:sz="4" w:space="0" w:color="auto"/>
            </w:tcBorders>
            <w:vAlign w:val="center"/>
            <w:hideMark/>
          </w:tcPr>
          <w:p w14:paraId="4F22E4C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p>
        </w:tc>
      </w:tr>
      <w:tr w:rsidR="00AB7C32" w:rsidRPr="00CB623E" w14:paraId="5A692B19"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37D9A02"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108</w:t>
            </w:r>
          </w:p>
        </w:tc>
        <w:tc>
          <w:tcPr>
            <w:tcW w:w="4340" w:type="dxa"/>
            <w:tcBorders>
              <w:top w:val="nil"/>
              <w:left w:val="nil"/>
              <w:bottom w:val="single" w:sz="4" w:space="0" w:color="auto"/>
              <w:right w:val="single" w:sz="4" w:space="0" w:color="auto"/>
            </w:tcBorders>
            <w:noWrap/>
            <w:vAlign w:val="center"/>
            <w:hideMark/>
          </w:tcPr>
          <w:p w14:paraId="448A0B7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Parque Estrela</w:t>
            </w:r>
          </w:p>
        </w:tc>
        <w:tc>
          <w:tcPr>
            <w:tcW w:w="4374" w:type="dxa"/>
            <w:tcBorders>
              <w:top w:val="nil"/>
              <w:left w:val="nil"/>
              <w:bottom w:val="single" w:sz="4" w:space="0" w:color="auto"/>
              <w:right w:val="single" w:sz="4" w:space="0" w:color="auto"/>
            </w:tcBorders>
            <w:vAlign w:val="center"/>
            <w:hideMark/>
          </w:tcPr>
          <w:p w14:paraId="7EE63AF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Estrada União Industria – S/n° - PQ Estrela Magé</w:t>
            </w:r>
          </w:p>
        </w:tc>
      </w:tr>
      <w:tr w:rsidR="00AB7C32" w:rsidRPr="00CB623E" w14:paraId="1052FED0"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0FA73A3F"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109</w:t>
            </w:r>
          </w:p>
        </w:tc>
        <w:tc>
          <w:tcPr>
            <w:tcW w:w="4340" w:type="dxa"/>
            <w:tcBorders>
              <w:top w:val="nil"/>
              <w:left w:val="nil"/>
              <w:bottom w:val="single" w:sz="4" w:space="0" w:color="auto"/>
              <w:right w:val="single" w:sz="4" w:space="0" w:color="auto"/>
            </w:tcBorders>
            <w:vAlign w:val="center"/>
            <w:hideMark/>
          </w:tcPr>
          <w:p w14:paraId="1D72466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Gisnei Câmara</w:t>
            </w:r>
          </w:p>
        </w:tc>
        <w:tc>
          <w:tcPr>
            <w:tcW w:w="4374" w:type="dxa"/>
            <w:tcBorders>
              <w:top w:val="nil"/>
              <w:left w:val="nil"/>
              <w:bottom w:val="single" w:sz="4" w:space="0" w:color="auto"/>
              <w:right w:val="single" w:sz="4" w:space="0" w:color="auto"/>
            </w:tcBorders>
            <w:vAlign w:val="center"/>
            <w:hideMark/>
          </w:tcPr>
          <w:p w14:paraId="440383C8"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Aristides Portugal, 353 – Ilha Piabetá – Magé</w:t>
            </w:r>
          </w:p>
        </w:tc>
      </w:tr>
      <w:tr w:rsidR="00AB7C32" w:rsidRPr="00CB623E" w14:paraId="57BA85A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5B062496"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110</w:t>
            </w:r>
          </w:p>
        </w:tc>
        <w:tc>
          <w:tcPr>
            <w:tcW w:w="4340" w:type="dxa"/>
            <w:tcBorders>
              <w:top w:val="nil"/>
              <w:left w:val="nil"/>
              <w:bottom w:val="single" w:sz="4" w:space="0" w:color="auto"/>
              <w:right w:val="single" w:sz="4" w:space="0" w:color="auto"/>
            </w:tcBorders>
            <w:noWrap/>
            <w:vAlign w:val="center"/>
            <w:hideMark/>
          </w:tcPr>
          <w:p w14:paraId="15B68315"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Professora Maria Araújo da Silva</w:t>
            </w:r>
          </w:p>
        </w:tc>
        <w:tc>
          <w:tcPr>
            <w:tcW w:w="4374" w:type="dxa"/>
            <w:tcBorders>
              <w:top w:val="nil"/>
              <w:left w:val="nil"/>
              <w:bottom w:val="single" w:sz="4" w:space="0" w:color="auto"/>
              <w:right w:val="single" w:sz="4" w:space="0" w:color="auto"/>
            </w:tcBorders>
            <w:vAlign w:val="center"/>
            <w:hideMark/>
          </w:tcPr>
          <w:p w14:paraId="15CF8862" w14:textId="72F170FF"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Av. Nazareno, </w:t>
            </w:r>
            <w:r w:rsidR="005B209A" w:rsidRPr="00CB623E">
              <w:rPr>
                <w:rFonts w:ascii="Times New Roman" w:eastAsia="Times New Roman" w:hAnsi="Times New Roman" w:cs="Times New Roman"/>
                <w:color w:val="000000"/>
              </w:rPr>
              <w:t>55 jardins</w:t>
            </w:r>
            <w:r w:rsidRPr="00CB623E">
              <w:rPr>
                <w:rFonts w:ascii="Times New Roman" w:eastAsia="Times New Roman" w:hAnsi="Times New Roman" w:cs="Times New Roman"/>
                <w:color w:val="000000"/>
              </w:rPr>
              <w:t xml:space="preserve"> nazareno–Piabetá – Magé</w:t>
            </w:r>
          </w:p>
        </w:tc>
      </w:tr>
      <w:tr w:rsidR="00AB7C32" w:rsidRPr="00CB623E" w14:paraId="07E38FB6"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29A605D3"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111</w:t>
            </w:r>
          </w:p>
        </w:tc>
        <w:tc>
          <w:tcPr>
            <w:tcW w:w="4340" w:type="dxa"/>
            <w:tcBorders>
              <w:top w:val="nil"/>
              <w:left w:val="nil"/>
              <w:bottom w:val="single" w:sz="4" w:space="0" w:color="auto"/>
              <w:right w:val="single" w:sz="4" w:space="0" w:color="auto"/>
            </w:tcBorders>
            <w:noWrap/>
            <w:vAlign w:val="center"/>
            <w:hideMark/>
          </w:tcPr>
          <w:p w14:paraId="613A454B"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Raiz da Serra</w:t>
            </w:r>
          </w:p>
        </w:tc>
        <w:tc>
          <w:tcPr>
            <w:tcW w:w="4374" w:type="dxa"/>
            <w:tcBorders>
              <w:top w:val="nil"/>
              <w:left w:val="nil"/>
              <w:bottom w:val="single" w:sz="4" w:space="0" w:color="auto"/>
              <w:right w:val="single" w:sz="4" w:space="0" w:color="auto"/>
            </w:tcBorders>
            <w:vAlign w:val="center"/>
            <w:hideMark/>
          </w:tcPr>
          <w:p w14:paraId="13813FB1" w14:textId="7A9B4BBC"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Av. </w:t>
            </w:r>
            <w:r w:rsidR="00A052F8" w:rsidRPr="00CB623E">
              <w:rPr>
                <w:rFonts w:ascii="Times New Roman" w:eastAsia="Times New Roman" w:hAnsi="Times New Roman" w:cs="Times New Roman"/>
                <w:color w:val="000000"/>
              </w:rPr>
              <w:t>Automóvel</w:t>
            </w:r>
            <w:r w:rsidRPr="00CB623E">
              <w:rPr>
                <w:rFonts w:ascii="Times New Roman" w:eastAsia="Times New Roman" w:hAnsi="Times New Roman" w:cs="Times New Roman"/>
                <w:color w:val="000000"/>
              </w:rPr>
              <w:t xml:space="preserve"> Club – Raiz da Serra – Magé</w:t>
            </w:r>
          </w:p>
        </w:tc>
      </w:tr>
      <w:tr w:rsidR="00AB7C32" w:rsidRPr="00CB623E" w14:paraId="3C3107F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00CE3E7"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112</w:t>
            </w:r>
          </w:p>
        </w:tc>
        <w:tc>
          <w:tcPr>
            <w:tcW w:w="4340" w:type="dxa"/>
            <w:tcBorders>
              <w:top w:val="nil"/>
              <w:left w:val="nil"/>
              <w:bottom w:val="single" w:sz="4" w:space="0" w:color="auto"/>
              <w:right w:val="single" w:sz="4" w:space="0" w:color="auto"/>
            </w:tcBorders>
            <w:noWrap/>
            <w:vAlign w:val="center"/>
            <w:hideMark/>
          </w:tcPr>
          <w:p w14:paraId="498FE3E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Urias</w:t>
            </w:r>
          </w:p>
        </w:tc>
        <w:tc>
          <w:tcPr>
            <w:tcW w:w="4374" w:type="dxa"/>
            <w:tcBorders>
              <w:top w:val="nil"/>
              <w:left w:val="nil"/>
              <w:bottom w:val="single" w:sz="4" w:space="0" w:color="auto"/>
              <w:right w:val="single" w:sz="4" w:space="0" w:color="auto"/>
            </w:tcBorders>
            <w:vAlign w:val="center"/>
            <w:hideMark/>
          </w:tcPr>
          <w:p w14:paraId="30268CE7"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F, n° 435 – Parque Maitá – Piabetá – Magé</w:t>
            </w:r>
          </w:p>
        </w:tc>
      </w:tr>
      <w:tr w:rsidR="00AB7C32" w:rsidRPr="00CB623E" w14:paraId="55D773BF"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00C4C94"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113</w:t>
            </w:r>
          </w:p>
        </w:tc>
        <w:tc>
          <w:tcPr>
            <w:tcW w:w="4340" w:type="dxa"/>
            <w:tcBorders>
              <w:top w:val="nil"/>
              <w:left w:val="nil"/>
              <w:bottom w:val="single" w:sz="4" w:space="0" w:color="auto"/>
              <w:right w:val="single" w:sz="4" w:space="0" w:color="auto"/>
            </w:tcBorders>
            <w:noWrap/>
            <w:vAlign w:val="center"/>
            <w:hideMark/>
          </w:tcPr>
          <w:p w14:paraId="32E2912C" w14:textId="7403E99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C. M. Profª </w:t>
            </w:r>
            <w:r w:rsidR="00A052F8" w:rsidRPr="00CB623E">
              <w:rPr>
                <w:rFonts w:ascii="Times New Roman" w:eastAsia="Times New Roman" w:hAnsi="Times New Roman" w:cs="Times New Roman"/>
                <w:color w:val="000000"/>
              </w:rPr>
              <w:t>Patrícia</w:t>
            </w:r>
            <w:r w:rsidRPr="00CB623E">
              <w:rPr>
                <w:rFonts w:ascii="Times New Roman" w:eastAsia="Times New Roman" w:hAnsi="Times New Roman" w:cs="Times New Roman"/>
                <w:color w:val="000000"/>
              </w:rPr>
              <w:t xml:space="preserve"> da Silva Santos</w:t>
            </w:r>
          </w:p>
        </w:tc>
        <w:tc>
          <w:tcPr>
            <w:tcW w:w="4374" w:type="dxa"/>
            <w:tcBorders>
              <w:top w:val="nil"/>
              <w:left w:val="nil"/>
              <w:bottom w:val="single" w:sz="4" w:space="0" w:color="auto"/>
              <w:right w:val="single" w:sz="4" w:space="0" w:color="auto"/>
            </w:tcBorders>
            <w:noWrap/>
            <w:vAlign w:val="center"/>
            <w:hideMark/>
          </w:tcPr>
          <w:p w14:paraId="38E822CC"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Marques, n° 40 - Guarani - Piabetá</w:t>
            </w:r>
          </w:p>
        </w:tc>
      </w:tr>
      <w:tr w:rsidR="00AB7C32" w:rsidRPr="00CB623E" w14:paraId="653C9EA3"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45804878"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114</w:t>
            </w:r>
          </w:p>
        </w:tc>
        <w:tc>
          <w:tcPr>
            <w:tcW w:w="4340" w:type="dxa"/>
            <w:tcBorders>
              <w:top w:val="nil"/>
              <w:left w:val="nil"/>
              <w:bottom w:val="single" w:sz="4" w:space="0" w:color="auto"/>
              <w:right w:val="single" w:sz="4" w:space="0" w:color="auto"/>
            </w:tcBorders>
            <w:vAlign w:val="center"/>
            <w:hideMark/>
          </w:tcPr>
          <w:p w14:paraId="6568F48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Kailon da Silva Paixão</w:t>
            </w:r>
          </w:p>
        </w:tc>
        <w:tc>
          <w:tcPr>
            <w:tcW w:w="4374" w:type="dxa"/>
            <w:tcBorders>
              <w:top w:val="nil"/>
              <w:left w:val="nil"/>
              <w:bottom w:val="single" w:sz="4" w:space="0" w:color="auto"/>
              <w:right w:val="single" w:sz="4" w:space="0" w:color="auto"/>
            </w:tcBorders>
            <w:vAlign w:val="center"/>
            <w:hideMark/>
          </w:tcPr>
          <w:p w14:paraId="06794C64"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 xml:space="preserve">Travessa D, SN - Parque Paranhos, Magé/RJ, CEP 25937-469- Piabetá, Magé </w:t>
            </w:r>
          </w:p>
        </w:tc>
      </w:tr>
      <w:tr w:rsidR="00AB7C32" w:rsidRPr="00CB623E" w14:paraId="0AF0D4AA"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619EC27B"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115</w:t>
            </w:r>
          </w:p>
        </w:tc>
        <w:tc>
          <w:tcPr>
            <w:tcW w:w="4340" w:type="dxa"/>
            <w:tcBorders>
              <w:top w:val="nil"/>
              <w:left w:val="nil"/>
              <w:bottom w:val="single" w:sz="4" w:space="0" w:color="auto"/>
              <w:right w:val="single" w:sz="4" w:space="0" w:color="auto"/>
            </w:tcBorders>
            <w:vAlign w:val="center"/>
            <w:hideMark/>
          </w:tcPr>
          <w:p w14:paraId="2297DEC6"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Maria José Ferreira Batista</w:t>
            </w:r>
          </w:p>
        </w:tc>
        <w:tc>
          <w:tcPr>
            <w:tcW w:w="4374" w:type="dxa"/>
            <w:tcBorders>
              <w:top w:val="nil"/>
              <w:left w:val="nil"/>
              <w:bottom w:val="single" w:sz="4" w:space="0" w:color="auto"/>
              <w:right w:val="single" w:sz="4" w:space="0" w:color="auto"/>
            </w:tcBorders>
            <w:vAlign w:val="center"/>
            <w:hideMark/>
          </w:tcPr>
          <w:p w14:paraId="374A0F99"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18, S/N, Maurimárcia, Piabetá/Magé - CEP 25935-554</w:t>
            </w:r>
          </w:p>
        </w:tc>
      </w:tr>
      <w:tr w:rsidR="00AB7C32" w:rsidRPr="00CB623E" w14:paraId="7701948D" w14:textId="77777777" w:rsidTr="00B95D2B">
        <w:trPr>
          <w:trHeight w:val="28"/>
          <w:jc w:val="center"/>
        </w:trPr>
        <w:tc>
          <w:tcPr>
            <w:tcW w:w="642" w:type="dxa"/>
            <w:tcBorders>
              <w:top w:val="nil"/>
              <w:left w:val="single" w:sz="4" w:space="0" w:color="auto"/>
              <w:bottom w:val="single" w:sz="4" w:space="0" w:color="auto"/>
              <w:right w:val="single" w:sz="4" w:space="0" w:color="auto"/>
            </w:tcBorders>
            <w:shd w:val="clear" w:color="000000" w:fill="FFFF00"/>
            <w:vAlign w:val="center"/>
            <w:hideMark/>
          </w:tcPr>
          <w:p w14:paraId="541B3235" w14:textId="77777777" w:rsidR="00AB7C32" w:rsidRPr="00CB623E" w:rsidRDefault="00AB7C32" w:rsidP="009A7B17">
            <w:pPr>
              <w:tabs>
                <w:tab w:val="left" w:pos="0"/>
              </w:tabs>
              <w:spacing w:after="0" w:line="240" w:lineRule="auto"/>
              <w:jc w:val="center"/>
              <w:rPr>
                <w:rFonts w:ascii="Times New Roman" w:eastAsia="Times New Roman" w:hAnsi="Times New Roman" w:cs="Times New Roman"/>
                <w:color w:val="000000"/>
              </w:rPr>
            </w:pPr>
            <w:r w:rsidRPr="00CB623E">
              <w:rPr>
                <w:rFonts w:ascii="Times New Roman" w:eastAsia="Times New Roman" w:hAnsi="Times New Roman" w:cs="Times New Roman"/>
                <w:color w:val="000000"/>
              </w:rPr>
              <w:t>116</w:t>
            </w:r>
          </w:p>
        </w:tc>
        <w:tc>
          <w:tcPr>
            <w:tcW w:w="4340" w:type="dxa"/>
            <w:tcBorders>
              <w:top w:val="nil"/>
              <w:left w:val="nil"/>
              <w:bottom w:val="single" w:sz="4" w:space="0" w:color="auto"/>
              <w:right w:val="single" w:sz="4" w:space="0" w:color="auto"/>
            </w:tcBorders>
            <w:vAlign w:val="center"/>
            <w:hideMark/>
          </w:tcPr>
          <w:p w14:paraId="3261FACA"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C. M. Professor Raquel Silva do Amaral Souza</w:t>
            </w:r>
          </w:p>
        </w:tc>
        <w:tc>
          <w:tcPr>
            <w:tcW w:w="4374" w:type="dxa"/>
            <w:tcBorders>
              <w:top w:val="nil"/>
              <w:left w:val="nil"/>
              <w:bottom w:val="single" w:sz="4" w:space="0" w:color="auto"/>
              <w:right w:val="single" w:sz="4" w:space="0" w:color="auto"/>
            </w:tcBorders>
            <w:vAlign w:val="center"/>
            <w:hideMark/>
          </w:tcPr>
          <w:p w14:paraId="73DEE18F" w14:textId="77777777" w:rsidR="00AB7C32" w:rsidRPr="00CB623E" w:rsidRDefault="00AB7C32" w:rsidP="009A7B17">
            <w:pPr>
              <w:tabs>
                <w:tab w:val="left" w:pos="0"/>
              </w:tabs>
              <w:spacing w:after="0" w:line="240" w:lineRule="auto"/>
              <w:rPr>
                <w:rFonts w:ascii="Times New Roman" w:eastAsia="Times New Roman" w:hAnsi="Times New Roman" w:cs="Times New Roman"/>
                <w:color w:val="000000"/>
              </w:rPr>
            </w:pPr>
            <w:r w:rsidRPr="00CB623E">
              <w:rPr>
                <w:rFonts w:ascii="Times New Roman" w:eastAsia="Times New Roman" w:hAnsi="Times New Roman" w:cs="Times New Roman"/>
                <w:color w:val="000000"/>
              </w:rPr>
              <w:t>Rua Leopoldo Silva, s/n parque Santana CEP 25937-188</w:t>
            </w:r>
          </w:p>
        </w:tc>
      </w:tr>
    </w:tbl>
    <w:p w14:paraId="4C34D434" w14:textId="77777777" w:rsidR="00C45F07" w:rsidRPr="00CB623E" w:rsidRDefault="00C45F07" w:rsidP="00C45F07">
      <w:pPr>
        <w:tabs>
          <w:tab w:val="left" w:pos="0"/>
          <w:tab w:val="left" w:pos="567"/>
        </w:tabs>
        <w:spacing w:after="0" w:line="240" w:lineRule="auto"/>
        <w:rPr>
          <w:rFonts w:ascii="Times New Roman" w:hAnsi="Times New Roman" w:cs="Times New Roman"/>
          <w:b/>
          <w:bCs/>
          <w:sz w:val="23"/>
          <w:szCs w:val="23"/>
          <w:lang w:eastAsia="en-US"/>
        </w:rPr>
      </w:pPr>
    </w:p>
    <w:p w14:paraId="1B29699B" w14:textId="0F97C387" w:rsidR="00314555" w:rsidRPr="00CB623E" w:rsidRDefault="009A7B17" w:rsidP="00C45F07">
      <w:pPr>
        <w:pStyle w:val="PargrafodaLista"/>
        <w:numPr>
          <w:ilvl w:val="0"/>
          <w:numId w:val="44"/>
        </w:numPr>
        <w:tabs>
          <w:tab w:val="left" w:pos="0"/>
          <w:tab w:val="left" w:pos="567"/>
        </w:tabs>
        <w:spacing w:after="0" w:line="240" w:lineRule="auto"/>
        <w:ind w:left="0" w:firstLine="0"/>
        <w:rPr>
          <w:rFonts w:ascii="Times New Roman" w:hAnsi="Times New Roman" w:cs="Times New Roman"/>
          <w:b/>
          <w:bCs/>
          <w:sz w:val="23"/>
          <w:szCs w:val="23"/>
          <w:lang w:eastAsia="en-US"/>
        </w:rPr>
      </w:pPr>
      <w:r w:rsidRPr="00CB623E">
        <w:rPr>
          <w:rFonts w:ascii="Times New Roman" w:hAnsi="Times New Roman" w:cs="Times New Roman"/>
          <w:b/>
          <w:bCs/>
          <w:sz w:val="23"/>
          <w:szCs w:val="23"/>
          <w:lang w:eastAsia="en-US"/>
        </w:rPr>
        <w:t>SECRETARIA MUNICIPAL DE ASSISTÊNCIA SOCIAL E DIREITOS HUMANOS</w:t>
      </w:r>
    </w:p>
    <w:tbl>
      <w:tblPr>
        <w:tblStyle w:val="Tabelacomgrade"/>
        <w:tblpPr w:leftFromText="141" w:rightFromText="141" w:vertAnchor="text" w:horzAnchor="margin" w:tblpXSpec="center" w:tblpY="597"/>
        <w:tblW w:w="9214" w:type="dxa"/>
        <w:tblLook w:val="04A0" w:firstRow="1" w:lastRow="0" w:firstColumn="1" w:lastColumn="0" w:noHBand="0" w:noVBand="1"/>
      </w:tblPr>
      <w:tblGrid>
        <w:gridCol w:w="486"/>
        <w:gridCol w:w="3947"/>
        <w:gridCol w:w="1156"/>
        <w:gridCol w:w="1276"/>
        <w:gridCol w:w="1275"/>
        <w:gridCol w:w="1074"/>
      </w:tblGrid>
      <w:tr w:rsidR="00B831CE" w:rsidRPr="00CB623E" w14:paraId="7A25D661" w14:textId="77777777" w:rsidTr="00B831CE">
        <w:trPr>
          <w:trHeight w:val="450"/>
        </w:trPr>
        <w:tc>
          <w:tcPr>
            <w:tcW w:w="486" w:type="dxa"/>
            <w:vMerge w:val="restart"/>
          </w:tcPr>
          <w:p w14:paraId="7A57C62D" w14:textId="3F8C1EA6" w:rsidR="00B831CE" w:rsidRPr="00CB623E" w:rsidRDefault="00B831CE" w:rsidP="009A7B17">
            <w:pPr>
              <w:tabs>
                <w:tab w:val="left" w:pos="0"/>
              </w:tabs>
              <w:spacing w:line="360" w:lineRule="auto"/>
              <w:rPr>
                <w:rFonts w:ascii="Times New Roman" w:hAnsi="Times New Roman" w:cs="Times New Roman"/>
                <w:sz w:val="24"/>
                <w:szCs w:val="24"/>
                <w:lang w:eastAsia="en-US"/>
              </w:rPr>
            </w:pPr>
          </w:p>
        </w:tc>
        <w:tc>
          <w:tcPr>
            <w:tcW w:w="3947" w:type="dxa"/>
            <w:vMerge w:val="restart"/>
          </w:tcPr>
          <w:p w14:paraId="145AB04D" w14:textId="756A43A5" w:rsidR="00B831CE" w:rsidRPr="00CB623E" w:rsidRDefault="00B831CE" w:rsidP="009A7B17">
            <w:pPr>
              <w:tabs>
                <w:tab w:val="left" w:pos="0"/>
              </w:tabs>
              <w:spacing w:line="360" w:lineRule="auto"/>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Unidades da Secretaria Municipal de Assistência Social e Direitos Humanos</w:t>
            </w:r>
          </w:p>
        </w:tc>
        <w:tc>
          <w:tcPr>
            <w:tcW w:w="2432" w:type="dxa"/>
            <w:gridSpan w:val="2"/>
          </w:tcPr>
          <w:p w14:paraId="762A2880" w14:textId="77777777" w:rsidR="00B831CE" w:rsidRPr="00CB623E" w:rsidRDefault="00B831CE"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Quant. mensal</w:t>
            </w:r>
          </w:p>
        </w:tc>
        <w:tc>
          <w:tcPr>
            <w:tcW w:w="2349" w:type="dxa"/>
            <w:gridSpan w:val="2"/>
          </w:tcPr>
          <w:p w14:paraId="4A60AEFC" w14:textId="6BF6C8EB" w:rsidR="00B831CE" w:rsidRPr="00CB623E" w:rsidRDefault="00B831CE"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 xml:space="preserve">Quant. </w:t>
            </w:r>
            <w:r w:rsidR="00C45F07" w:rsidRPr="00CB623E">
              <w:rPr>
                <w:rFonts w:ascii="Times New Roman" w:hAnsi="Times New Roman" w:cs="Times New Roman"/>
                <w:b/>
                <w:bCs/>
                <w:sz w:val="24"/>
                <w:szCs w:val="24"/>
                <w:lang w:eastAsia="en-US"/>
              </w:rPr>
              <w:t>A</w:t>
            </w:r>
            <w:r w:rsidRPr="00CB623E">
              <w:rPr>
                <w:rFonts w:ascii="Times New Roman" w:hAnsi="Times New Roman" w:cs="Times New Roman"/>
                <w:b/>
                <w:bCs/>
                <w:sz w:val="24"/>
                <w:szCs w:val="24"/>
                <w:lang w:eastAsia="en-US"/>
              </w:rPr>
              <w:t>nual</w:t>
            </w:r>
          </w:p>
        </w:tc>
      </w:tr>
      <w:tr w:rsidR="00B831CE" w:rsidRPr="00CB623E" w14:paraId="63059C43" w14:textId="77777777" w:rsidTr="00B831CE">
        <w:trPr>
          <w:trHeight w:val="420"/>
        </w:trPr>
        <w:tc>
          <w:tcPr>
            <w:tcW w:w="486" w:type="dxa"/>
            <w:vMerge/>
          </w:tcPr>
          <w:p w14:paraId="189E4977"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p>
        </w:tc>
        <w:tc>
          <w:tcPr>
            <w:tcW w:w="3947" w:type="dxa"/>
            <w:vMerge/>
          </w:tcPr>
          <w:p w14:paraId="0B752862" w14:textId="77777777" w:rsidR="00B831CE" w:rsidRPr="00CB623E" w:rsidRDefault="00B831CE" w:rsidP="009A7B17">
            <w:pPr>
              <w:tabs>
                <w:tab w:val="left" w:pos="0"/>
              </w:tabs>
              <w:spacing w:line="360" w:lineRule="auto"/>
              <w:rPr>
                <w:rFonts w:ascii="Times New Roman" w:hAnsi="Times New Roman" w:cs="Times New Roman"/>
                <w:b/>
                <w:bCs/>
                <w:sz w:val="24"/>
                <w:szCs w:val="24"/>
                <w:lang w:eastAsia="en-US"/>
              </w:rPr>
            </w:pPr>
          </w:p>
        </w:tc>
        <w:tc>
          <w:tcPr>
            <w:tcW w:w="1156" w:type="dxa"/>
          </w:tcPr>
          <w:p w14:paraId="289AFC63" w14:textId="77777777" w:rsidR="00B831CE" w:rsidRPr="00CB623E" w:rsidRDefault="00B831CE"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13kg</w:t>
            </w:r>
          </w:p>
        </w:tc>
        <w:tc>
          <w:tcPr>
            <w:tcW w:w="1276" w:type="dxa"/>
          </w:tcPr>
          <w:p w14:paraId="5CD13210" w14:textId="77777777" w:rsidR="00B831CE" w:rsidRPr="00CB623E" w:rsidRDefault="00B831CE"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45kg</w:t>
            </w:r>
          </w:p>
        </w:tc>
        <w:tc>
          <w:tcPr>
            <w:tcW w:w="1275" w:type="dxa"/>
          </w:tcPr>
          <w:p w14:paraId="607A7052" w14:textId="77777777" w:rsidR="00B831CE" w:rsidRPr="00CB623E" w:rsidRDefault="00B831CE" w:rsidP="009A7B17">
            <w:pPr>
              <w:tabs>
                <w:tab w:val="left" w:pos="0"/>
              </w:tabs>
              <w:spacing w:line="360" w:lineRule="auto"/>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13kg</w:t>
            </w:r>
          </w:p>
        </w:tc>
        <w:tc>
          <w:tcPr>
            <w:tcW w:w="1074" w:type="dxa"/>
          </w:tcPr>
          <w:p w14:paraId="5433D1D4" w14:textId="77777777" w:rsidR="00B831CE" w:rsidRPr="00CB623E" w:rsidRDefault="00B831CE" w:rsidP="009A7B17">
            <w:pPr>
              <w:tabs>
                <w:tab w:val="left" w:pos="0"/>
              </w:tabs>
              <w:spacing w:line="360" w:lineRule="auto"/>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45kg</w:t>
            </w:r>
          </w:p>
        </w:tc>
      </w:tr>
      <w:tr w:rsidR="00B831CE" w:rsidRPr="00CB623E" w14:paraId="4340BB9E" w14:textId="77777777" w:rsidTr="009623F4">
        <w:tc>
          <w:tcPr>
            <w:tcW w:w="486" w:type="dxa"/>
            <w:shd w:val="clear" w:color="auto" w:fill="FFFF00"/>
          </w:tcPr>
          <w:p w14:paraId="36553339" w14:textId="1CFD6158"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1</w:t>
            </w:r>
          </w:p>
        </w:tc>
        <w:tc>
          <w:tcPr>
            <w:tcW w:w="3947" w:type="dxa"/>
          </w:tcPr>
          <w:p w14:paraId="7D9AF3EF" w14:textId="7E444AFA"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Centros de Referência de Assistência Social – CRAS</w:t>
            </w:r>
          </w:p>
        </w:tc>
        <w:tc>
          <w:tcPr>
            <w:tcW w:w="1156" w:type="dxa"/>
            <w:vAlign w:val="center"/>
          </w:tcPr>
          <w:p w14:paraId="3C8D1D0C" w14:textId="2143EE48"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18</w:t>
            </w:r>
          </w:p>
        </w:tc>
        <w:tc>
          <w:tcPr>
            <w:tcW w:w="1276" w:type="dxa"/>
            <w:vAlign w:val="center"/>
          </w:tcPr>
          <w:p w14:paraId="0CA02DB4"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78060BC8" w14:textId="461903E4"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216</w:t>
            </w:r>
          </w:p>
        </w:tc>
        <w:tc>
          <w:tcPr>
            <w:tcW w:w="1074" w:type="dxa"/>
            <w:vAlign w:val="center"/>
          </w:tcPr>
          <w:p w14:paraId="1AFEFD1B"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4302FD50" w14:textId="77777777" w:rsidTr="009623F4">
        <w:tc>
          <w:tcPr>
            <w:tcW w:w="486" w:type="dxa"/>
            <w:shd w:val="clear" w:color="auto" w:fill="FFFF00"/>
          </w:tcPr>
          <w:p w14:paraId="6948A5E8"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2</w:t>
            </w:r>
          </w:p>
        </w:tc>
        <w:tc>
          <w:tcPr>
            <w:tcW w:w="3947" w:type="dxa"/>
          </w:tcPr>
          <w:p w14:paraId="2311A0E1"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Centro de Referência Especializado de Assistência Social - CREAS</w:t>
            </w:r>
          </w:p>
        </w:tc>
        <w:tc>
          <w:tcPr>
            <w:tcW w:w="1156" w:type="dxa"/>
            <w:vAlign w:val="center"/>
          </w:tcPr>
          <w:p w14:paraId="7655AB48" w14:textId="05753163"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w:t>
            </w:r>
          </w:p>
        </w:tc>
        <w:tc>
          <w:tcPr>
            <w:tcW w:w="1276" w:type="dxa"/>
            <w:vAlign w:val="center"/>
          </w:tcPr>
          <w:p w14:paraId="4F98D74D"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35887F69" w14:textId="7BF45251"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24</w:t>
            </w:r>
          </w:p>
        </w:tc>
        <w:tc>
          <w:tcPr>
            <w:tcW w:w="1074" w:type="dxa"/>
            <w:vAlign w:val="center"/>
          </w:tcPr>
          <w:p w14:paraId="508CC233"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49248DEF" w14:textId="77777777" w:rsidTr="009623F4">
        <w:trPr>
          <w:trHeight w:val="1154"/>
        </w:trPr>
        <w:tc>
          <w:tcPr>
            <w:tcW w:w="486" w:type="dxa"/>
            <w:shd w:val="clear" w:color="auto" w:fill="FFFF00"/>
          </w:tcPr>
          <w:p w14:paraId="64BCB748" w14:textId="77777777" w:rsidR="00B831CE" w:rsidRPr="00CB623E" w:rsidRDefault="00B831CE" w:rsidP="009A7B17">
            <w:pPr>
              <w:tabs>
                <w:tab w:val="left" w:pos="0"/>
              </w:tabs>
              <w:spacing w:line="360" w:lineRule="auto"/>
              <w:jc w:val="left"/>
              <w:rPr>
                <w:rFonts w:ascii="Times New Roman" w:hAnsi="Times New Roman" w:cs="Times New Roman"/>
                <w:sz w:val="24"/>
                <w:szCs w:val="24"/>
                <w:lang w:eastAsia="en-US"/>
              </w:rPr>
            </w:pPr>
            <w:r w:rsidRPr="00CB623E">
              <w:rPr>
                <w:rFonts w:ascii="Times New Roman" w:hAnsi="Times New Roman" w:cs="Times New Roman"/>
                <w:sz w:val="24"/>
                <w:szCs w:val="24"/>
                <w:lang w:eastAsia="en-US"/>
              </w:rPr>
              <w:t>3</w:t>
            </w:r>
          </w:p>
        </w:tc>
        <w:tc>
          <w:tcPr>
            <w:tcW w:w="3947" w:type="dxa"/>
          </w:tcPr>
          <w:p w14:paraId="36D04177"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Centro de Referência Especializado para População em Situação de Rua – Centro Pop</w:t>
            </w:r>
          </w:p>
        </w:tc>
        <w:tc>
          <w:tcPr>
            <w:tcW w:w="1156" w:type="dxa"/>
            <w:vAlign w:val="center"/>
          </w:tcPr>
          <w:p w14:paraId="6E6C32D1" w14:textId="23E2715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14</w:t>
            </w:r>
          </w:p>
        </w:tc>
        <w:tc>
          <w:tcPr>
            <w:tcW w:w="1276" w:type="dxa"/>
            <w:vAlign w:val="center"/>
          </w:tcPr>
          <w:p w14:paraId="47E66BCB"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6DC22BED" w14:textId="4122D1F3"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168</w:t>
            </w:r>
          </w:p>
        </w:tc>
        <w:tc>
          <w:tcPr>
            <w:tcW w:w="1074" w:type="dxa"/>
            <w:vAlign w:val="center"/>
          </w:tcPr>
          <w:p w14:paraId="4D1C137D"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2EB98882" w14:textId="77777777" w:rsidTr="009623F4">
        <w:tc>
          <w:tcPr>
            <w:tcW w:w="486" w:type="dxa"/>
            <w:shd w:val="clear" w:color="auto" w:fill="FFFF00"/>
          </w:tcPr>
          <w:p w14:paraId="1A65D667"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4</w:t>
            </w:r>
          </w:p>
        </w:tc>
        <w:tc>
          <w:tcPr>
            <w:tcW w:w="3947" w:type="dxa"/>
          </w:tcPr>
          <w:p w14:paraId="4FDEF952"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Unidade Institucional de Acolhimento Futuro Feliz</w:t>
            </w:r>
          </w:p>
        </w:tc>
        <w:tc>
          <w:tcPr>
            <w:tcW w:w="1156" w:type="dxa"/>
            <w:vAlign w:val="center"/>
          </w:tcPr>
          <w:p w14:paraId="380F98B4" w14:textId="0A592AF9"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6" w:type="dxa"/>
            <w:vAlign w:val="center"/>
          </w:tcPr>
          <w:p w14:paraId="49620A08" w14:textId="227C5840"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6</w:t>
            </w:r>
          </w:p>
        </w:tc>
        <w:tc>
          <w:tcPr>
            <w:tcW w:w="1275" w:type="dxa"/>
            <w:vAlign w:val="center"/>
          </w:tcPr>
          <w:p w14:paraId="5127AA2D" w14:textId="5376A9B3"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074" w:type="dxa"/>
            <w:vAlign w:val="center"/>
          </w:tcPr>
          <w:p w14:paraId="79B84EF2" w14:textId="175242A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72</w:t>
            </w:r>
          </w:p>
        </w:tc>
      </w:tr>
      <w:tr w:rsidR="00B831CE" w:rsidRPr="00CB623E" w14:paraId="6B5836CE" w14:textId="77777777" w:rsidTr="009623F4">
        <w:tc>
          <w:tcPr>
            <w:tcW w:w="486" w:type="dxa"/>
            <w:shd w:val="clear" w:color="auto" w:fill="FFFF00"/>
          </w:tcPr>
          <w:p w14:paraId="1EB6C0F7"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5</w:t>
            </w:r>
          </w:p>
        </w:tc>
        <w:tc>
          <w:tcPr>
            <w:tcW w:w="3947" w:type="dxa"/>
          </w:tcPr>
          <w:p w14:paraId="6415801F"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Unidade Institucional de Acolhimento Douglas Enzo Maia</w:t>
            </w:r>
          </w:p>
        </w:tc>
        <w:tc>
          <w:tcPr>
            <w:tcW w:w="1156" w:type="dxa"/>
            <w:vAlign w:val="center"/>
          </w:tcPr>
          <w:p w14:paraId="27E10E8A"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6" w:type="dxa"/>
            <w:vAlign w:val="center"/>
          </w:tcPr>
          <w:p w14:paraId="7FF77F79" w14:textId="1D0E0016"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6</w:t>
            </w:r>
          </w:p>
        </w:tc>
        <w:tc>
          <w:tcPr>
            <w:tcW w:w="1275" w:type="dxa"/>
            <w:vAlign w:val="center"/>
          </w:tcPr>
          <w:p w14:paraId="54E23FC3"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074" w:type="dxa"/>
            <w:vAlign w:val="center"/>
          </w:tcPr>
          <w:p w14:paraId="06B510F5" w14:textId="3D2608D6"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72</w:t>
            </w:r>
          </w:p>
        </w:tc>
      </w:tr>
      <w:tr w:rsidR="00B831CE" w:rsidRPr="00CB623E" w14:paraId="3D1F23AC" w14:textId="77777777" w:rsidTr="009623F4">
        <w:tc>
          <w:tcPr>
            <w:tcW w:w="486" w:type="dxa"/>
            <w:shd w:val="clear" w:color="auto" w:fill="FFFF00"/>
          </w:tcPr>
          <w:p w14:paraId="323B78B2"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lastRenderedPageBreak/>
              <w:t>6</w:t>
            </w:r>
          </w:p>
        </w:tc>
        <w:tc>
          <w:tcPr>
            <w:tcW w:w="3947" w:type="dxa"/>
          </w:tcPr>
          <w:p w14:paraId="2E9201E2"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Unidade de Acolhimento para Adultos e Famílias – Casa de Passagem</w:t>
            </w:r>
          </w:p>
        </w:tc>
        <w:tc>
          <w:tcPr>
            <w:tcW w:w="1156" w:type="dxa"/>
            <w:vAlign w:val="center"/>
          </w:tcPr>
          <w:p w14:paraId="325EFDF0" w14:textId="71140D4C"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14</w:t>
            </w:r>
          </w:p>
        </w:tc>
        <w:tc>
          <w:tcPr>
            <w:tcW w:w="1276" w:type="dxa"/>
            <w:vAlign w:val="center"/>
          </w:tcPr>
          <w:p w14:paraId="0140BAEE" w14:textId="4EB7933E"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2B4FEEAA" w14:textId="294F0F2E"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168</w:t>
            </w:r>
          </w:p>
        </w:tc>
        <w:tc>
          <w:tcPr>
            <w:tcW w:w="1074" w:type="dxa"/>
            <w:vAlign w:val="center"/>
          </w:tcPr>
          <w:p w14:paraId="3483BE0F" w14:textId="702175F8"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026DB9EF" w14:textId="77777777" w:rsidTr="009623F4">
        <w:tc>
          <w:tcPr>
            <w:tcW w:w="486" w:type="dxa"/>
            <w:shd w:val="clear" w:color="auto" w:fill="FFFF00"/>
          </w:tcPr>
          <w:p w14:paraId="6EA853FD"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7</w:t>
            </w:r>
          </w:p>
        </w:tc>
        <w:tc>
          <w:tcPr>
            <w:tcW w:w="3947" w:type="dxa"/>
          </w:tcPr>
          <w:p w14:paraId="4AAAF29E"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Instituição de Longa Permanência para Idosos – ILPI</w:t>
            </w:r>
          </w:p>
        </w:tc>
        <w:tc>
          <w:tcPr>
            <w:tcW w:w="1156" w:type="dxa"/>
            <w:vAlign w:val="center"/>
          </w:tcPr>
          <w:p w14:paraId="1B2A6BD8" w14:textId="2FA4D354"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6" w:type="dxa"/>
            <w:vAlign w:val="center"/>
          </w:tcPr>
          <w:p w14:paraId="45780C25" w14:textId="16727F09"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6</w:t>
            </w:r>
          </w:p>
        </w:tc>
        <w:tc>
          <w:tcPr>
            <w:tcW w:w="1275" w:type="dxa"/>
            <w:vAlign w:val="center"/>
          </w:tcPr>
          <w:p w14:paraId="2976B6A4" w14:textId="3FD0283F"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074" w:type="dxa"/>
            <w:vAlign w:val="center"/>
          </w:tcPr>
          <w:p w14:paraId="4A498B31" w14:textId="41804194"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72</w:t>
            </w:r>
          </w:p>
        </w:tc>
      </w:tr>
      <w:tr w:rsidR="00B831CE" w:rsidRPr="00CB623E" w14:paraId="27792363" w14:textId="77777777" w:rsidTr="009623F4">
        <w:tc>
          <w:tcPr>
            <w:tcW w:w="486" w:type="dxa"/>
            <w:shd w:val="clear" w:color="auto" w:fill="FFFF00"/>
          </w:tcPr>
          <w:p w14:paraId="4682C537" w14:textId="77777777" w:rsidR="00B831CE" w:rsidRPr="00CB623E" w:rsidRDefault="00B831CE" w:rsidP="009A7B17">
            <w:pPr>
              <w:tabs>
                <w:tab w:val="left" w:pos="0"/>
              </w:tabs>
              <w:spacing w:line="360" w:lineRule="auto"/>
              <w:jc w:val="left"/>
              <w:rPr>
                <w:rFonts w:ascii="Times New Roman" w:hAnsi="Times New Roman" w:cs="Times New Roman"/>
                <w:sz w:val="24"/>
                <w:szCs w:val="24"/>
                <w:lang w:eastAsia="en-US"/>
              </w:rPr>
            </w:pPr>
            <w:r w:rsidRPr="00CB623E">
              <w:rPr>
                <w:rFonts w:ascii="Times New Roman" w:hAnsi="Times New Roman" w:cs="Times New Roman"/>
                <w:sz w:val="24"/>
                <w:szCs w:val="24"/>
                <w:lang w:eastAsia="en-US"/>
              </w:rPr>
              <w:t>8</w:t>
            </w:r>
          </w:p>
        </w:tc>
        <w:tc>
          <w:tcPr>
            <w:tcW w:w="3947" w:type="dxa"/>
          </w:tcPr>
          <w:p w14:paraId="21D49C16"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Instituto Brasileiro de Justiça e Direito Social (Novaes Agra)</w:t>
            </w:r>
          </w:p>
        </w:tc>
        <w:tc>
          <w:tcPr>
            <w:tcW w:w="1156" w:type="dxa"/>
            <w:vAlign w:val="center"/>
          </w:tcPr>
          <w:p w14:paraId="7474BEF2"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6" w:type="dxa"/>
            <w:vAlign w:val="center"/>
          </w:tcPr>
          <w:p w14:paraId="3DCE4AA4" w14:textId="4136A9D8"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10</w:t>
            </w:r>
          </w:p>
        </w:tc>
        <w:tc>
          <w:tcPr>
            <w:tcW w:w="1275" w:type="dxa"/>
            <w:vAlign w:val="center"/>
          </w:tcPr>
          <w:p w14:paraId="2E1251D1"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074" w:type="dxa"/>
            <w:vAlign w:val="center"/>
          </w:tcPr>
          <w:p w14:paraId="0FD98968" w14:textId="691E93CA"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120</w:t>
            </w:r>
          </w:p>
        </w:tc>
      </w:tr>
      <w:tr w:rsidR="00B831CE" w:rsidRPr="00CB623E" w14:paraId="5B2CEA73" w14:textId="77777777" w:rsidTr="009623F4">
        <w:tc>
          <w:tcPr>
            <w:tcW w:w="486" w:type="dxa"/>
            <w:shd w:val="clear" w:color="auto" w:fill="FFFF00"/>
          </w:tcPr>
          <w:p w14:paraId="6D4F672D"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9</w:t>
            </w:r>
          </w:p>
        </w:tc>
        <w:tc>
          <w:tcPr>
            <w:tcW w:w="3947" w:type="dxa"/>
          </w:tcPr>
          <w:p w14:paraId="1A361DDD"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Casa dos Conselhos</w:t>
            </w:r>
          </w:p>
        </w:tc>
        <w:tc>
          <w:tcPr>
            <w:tcW w:w="1156" w:type="dxa"/>
            <w:vAlign w:val="center"/>
          </w:tcPr>
          <w:p w14:paraId="29246C25" w14:textId="7213037D"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w:t>
            </w:r>
          </w:p>
        </w:tc>
        <w:tc>
          <w:tcPr>
            <w:tcW w:w="1276" w:type="dxa"/>
            <w:vAlign w:val="center"/>
          </w:tcPr>
          <w:p w14:paraId="75559E81" w14:textId="711CDA55"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70AEBD9C" w14:textId="5E79C87F"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24</w:t>
            </w:r>
          </w:p>
        </w:tc>
        <w:tc>
          <w:tcPr>
            <w:tcW w:w="1074" w:type="dxa"/>
            <w:vAlign w:val="center"/>
          </w:tcPr>
          <w:p w14:paraId="7AAD0886" w14:textId="0DE3A425"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33AF3F04" w14:textId="77777777" w:rsidTr="009623F4">
        <w:tc>
          <w:tcPr>
            <w:tcW w:w="486" w:type="dxa"/>
            <w:shd w:val="clear" w:color="auto" w:fill="FFFF00"/>
          </w:tcPr>
          <w:p w14:paraId="652B1BA9"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10</w:t>
            </w:r>
          </w:p>
        </w:tc>
        <w:tc>
          <w:tcPr>
            <w:tcW w:w="3947" w:type="dxa"/>
          </w:tcPr>
          <w:p w14:paraId="41D11316"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Padaria Popular (Magé)</w:t>
            </w:r>
          </w:p>
        </w:tc>
        <w:tc>
          <w:tcPr>
            <w:tcW w:w="1156" w:type="dxa"/>
            <w:vAlign w:val="center"/>
          </w:tcPr>
          <w:p w14:paraId="0CD61407" w14:textId="47DC57DD"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18</w:t>
            </w:r>
          </w:p>
        </w:tc>
        <w:tc>
          <w:tcPr>
            <w:tcW w:w="1276" w:type="dxa"/>
            <w:vAlign w:val="center"/>
          </w:tcPr>
          <w:p w14:paraId="0BCB0CA4"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07B0969F" w14:textId="6B2394B2"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216</w:t>
            </w:r>
          </w:p>
        </w:tc>
        <w:tc>
          <w:tcPr>
            <w:tcW w:w="1074" w:type="dxa"/>
            <w:vAlign w:val="center"/>
          </w:tcPr>
          <w:p w14:paraId="1C8EF73A"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79C76B55" w14:textId="77777777" w:rsidTr="009623F4">
        <w:tc>
          <w:tcPr>
            <w:tcW w:w="486" w:type="dxa"/>
            <w:shd w:val="clear" w:color="auto" w:fill="FFFF00"/>
          </w:tcPr>
          <w:p w14:paraId="65115936"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11</w:t>
            </w:r>
          </w:p>
        </w:tc>
        <w:tc>
          <w:tcPr>
            <w:tcW w:w="3947" w:type="dxa"/>
          </w:tcPr>
          <w:p w14:paraId="659867DF"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Padaria Popular (Suruí)</w:t>
            </w:r>
          </w:p>
        </w:tc>
        <w:tc>
          <w:tcPr>
            <w:tcW w:w="1156" w:type="dxa"/>
            <w:vAlign w:val="center"/>
          </w:tcPr>
          <w:p w14:paraId="22D5CE80" w14:textId="16A49733"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18</w:t>
            </w:r>
          </w:p>
        </w:tc>
        <w:tc>
          <w:tcPr>
            <w:tcW w:w="1276" w:type="dxa"/>
            <w:vAlign w:val="center"/>
          </w:tcPr>
          <w:p w14:paraId="7F5FBAF8"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1694BE52" w14:textId="43492B5C"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216</w:t>
            </w:r>
          </w:p>
        </w:tc>
        <w:tc>
          <w:tcPr>
            <w:tcW w:w="1074" w:type="dxa"/>
            <w:vAlign w:val="center"/>
          </w:tcPr>
          <w:p w14:paraId="63561DF0"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B831CE" w:rsidRPr="00CB623E" w14:paraId="7A519695" w14:textId="77777777" w:rsidTr="009623F4">
        <w:trPr>
          <w:trHeight w:val="526"/>
        </w:trPr>
        <w:tc>
          <w:tcPr>
            <w:tcW w:w="486" w:type="dxa"/>
            <w:shd w:val="clear" w:color="auto" w:fill="FFFF00"/>
          </w:tcPr>
          <w:p w14:paraId="726D9256"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12</w:t>
            </w:r>
          </w:p>
        </w:tc>
        <w:tc>
          <w:tcPr>
            <w:tcW w:w="3947" w:type="dxa"/>
          </w:tcPr>
          <w:p w14:paraId="7093F42F" w14:textId="77777777" w:rsidR="00B831CE" w:rsidRPr="00CB623E" w:rsidRDefault="00B831CE" w:rsidP="009A7B17">
            <w:pPr>
              <w:tabs>
                <w:tab w:val="left" w:pos="0"/>
              </w:tabs>
              <w:spacing w:line="360" w:lineRule="auto"/>
              <w:rPr>
                <w:rFonts w:ascii="Times New Roman" w:hAnsi="Times New Roman" w:cs="Times New Roman"/>
                <w:sz w:val="24"/>
                <w:szCs w:val="24"/>
                <w:lang w:eastAsia="en-US"/>
              </w:rPr>
            </w:pPr>
            <w:r w:rsidRPr="00CB623E">
              <w:rPr>
                <w:rFonts w:ascii="Times New Roman" w:hAnsi="Times New Roman" w:cs="Times New Roman"/>
                <w:sz w:val="24"/>
                <w:szCs w:val="24"/>
                <w:lang w:eastAsia="en-US"/>
              </w:rPr>
              <w:t>Padaria Popular (Santo Aleixo)</w:t>
            </w:r>
          </w:p>
        </w:tc>
        <w:tc>
          <w:tcPr>
            <w:tcW w:w="1156" w:type="dxa"/>
            <w:vAlign w:val="center"/>
          </w:tcPr>
          <w:p w14:paraId="770BB485" w14:textId="57A624CF"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18</w:t>
            </w:r>
          </w:p>
        </w:tc>
        <w:tc>
          <w:tcPr>
            <w:tcW w:w="1276" w:type="dxa"/>
            <w:vAlign w:val="center"/>
          </w:tcPr>
          <w:p w14:paraId="17193F7D"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c>
          <w:tcPr>
            <w:tcW w:w="1275" w:type="dxa"/>
            <w:vAlign w:val="center"/>
          </w:tcPr>
          <w:p w14:paraId="3EA56AEA" w14:textId="7C844078"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r w:rsidRPr="00CB623E">
              <w:rPr>
                <w:rFonts w:ascii="Times New Roman" w:hAnsi="Times New Roman" w:cs="Times New Roman"/>
                <w:sz w:val="24"/>
                <w:szCs w:val="24"/>
                <w:lang w:eastAsia="en-US"/>
              </w:rPr>
              <w:t>216</w:t>
            </w:r>
          </w:p>
        </w:tc>
        <w:tc>
          <w:tcPr>
            <w:tcW w:w="1074" w:type="dxa"/>
            <w:vAlign w:val="center"/>
          </w:tcPr>
          <w:p w14:paraId="6B0357F1" w14:textId="77777777" w:rsidR="00B831CE" w:rsidRPr="00CB623E" w:rsidRDefault="00B831CE" w:rsidP="009A7B17">
            <w:pPr>
              <w:tabs>
                <w:tab w:val="left" w:pos="0"/>
              </w:tabs>
              <w:spacing w:line="360" w:lineRule="auto"/>
              <w:jc w:val="center"/>
              <w:rPr>
                <w:rFonts w:ascii="Times New Roman" w:hAnsi="Times New Roman" w:cs="Times New Roman"/>
                <w:sz w:val="24"/>
                <w:szCs w:val="24"/>
                <w:lang w:eastAsia="en-US"/>
              </w:rPr>
            </w:pPr>
          </w:p>
        </w:tc>
      </w:tr>
      <w:tr w:rsidR="008349F6" w:rsidRPr="00CB623E" w14:paraId="62368548" w14:textId="77777777" w:rsidTr="008349F6">
        <w:tc>
          <w:tcPr>
            <w:tcW w:w="4433" w:type="dxa"/>
            <w:gridSpan w:val="2"/>
            <w:shd w:val="clear" w:color="auto" w:fill="D9D9D9" w:themeFill="background1" w:themeFillShade="D9"/>
          </w:tcPr>
          <w:p w14:paraId="1AC5A6B8" w14:textId="570794F5" w:rsidR="008349F6" w:rsidRPr="00CB623E" w:rsidRDefault="008349F6"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TOTAL</w:t>
            </w:r>
          </w:p>
        </w:tc>
        <w:tc>
          <w:tcPr>
            <w:tcW w:w="1156" w:type="dxa"/>
            <w:shd w:val="clear" w:color="auto" w:fill="D9D9D9" w:themeFill="background1" w:themeFillShade="D9"/>
            <w:vAlign w:val="center"/>
          </w:tcPr>
          <w:p w14:paraId="2B99A9FA" w14:textId="5422BC83" w:rsidR="008349F6" w:rsidRPr="00CB623E" w:rsidRDefault="008349F6"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104</w:t>
            </w:r>
          </w:p>
        </w:tc>
        <w:tc>
          <w:tcPr>
            <w:tcW w:w="1276" w:type="dxa"/>
            <w:shd w:val="clear" w:color="auto" w:fill="D9D9D9" w:themeFill="background1" w:themeFillShade="D9"/>
            <w:vAlign w:val="center"/>
          </w:tcPr>
          <w:p w14:paraId="411A9A16" w14:textId="43EC6E37" w:rsidR="008349F6" w:rsidRPr="00CB623E" w:rsidRDefault="008349F6"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28</w:t>
            </w:r>
          </w:p>
        </w:tc>
        <w:tc>
          <w:tcPr>
            <w:tcW w:w="1275" w:type="dxa"/>
            <w:shd w:val="clear" w:color="auto" w:fill="D9D9D9" w:themeFill="background1" w:themeFillShade="D9"/>
            <w:vAlign w:val="center"/>
          </w:tcPr>
          <w:p w14:paraId="349615A9" w14:textId="07011728" w:rsidR="008349F6" w:rsidRPr="00CB623E" w:rsidRDefault="008349F6"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1248</w:t>
            </w:r>
          </w:p>
        </w:tc>
        <w:tc>
          <w:tcPr>
            <w:tcW w:w="1074" w:type="dxa"/>
            <w:shd w:val="clear" w:color="auto" w:fill="D9D9D9" w:themeFill="background1" w:themeFillShade="D9"/>
            <w:vAlign w:val="center"/>
          </w:tcPr>
          <w:p w14:paraId="7CC9BBCC" w14:textId="6F6D7D92" w:rsidR="008349F6" w:rsidRPr="00CB623E" w:rsidRDefault="008349F6" w:rsidP="009A7B17">
            <w:pPr>
              <w:tabs>
                <w:tab w:val="left" w:pos="0"/>
              </w:tabs>
              <w:spacing w:line="360" w:lineRule="auto"/>
              <w:jc w:val="center"/>
              <w:rPr>
                <w:rFonts w:ascii="Times New Roman" w:hAnsi="Times New Roman" w:cs="Times New Roman"/>
                <w:b/>
                <w:bCs/>
                <w:sz w:val="24"/>
                <w:szCs w:val="24"/>
                <w:lang w:eastAsia="en-US"/>
              </w:rPr>
            </w:pPr>
            <w:r w:rsidRPr="00CB623E">
              <w:rPr>
                <w:rFonts w:ascii="Times New Roman" w:hAnsi="Times New Roman" w:cs="Times New Roman"/>
                <w:b/>
                <w:bCs/>
                <w:sz w:val="24"/>
                <w:szCs w:val="24"/>
                <w:lang w:eastAsia="en-US"/>
              </w:rPr>
              <w:t>336</w:t>
            </w:r>
          </w:p>
        </w:tc>
      </w:tr>
    </w:tbl>
    <w:p w14:paraId="0E24CA55" w14:textId="5E9D7BAD" w:rsidR="008C0496" w:rsidRPr="00CB623E" w:rsidRDefault="008C0496" w:rsidP="00C45F07">
      <w:pPr>
        <w:tabs>
          <w:tab w:val="left" w:pos="0"/>
        </w:tabs>
        <w:spacing w:after="0" w:line="240" w:lineRule="auto"/>
        <w:rPr>
          <w:rFonts w:ascii="Times New Roman" w:hAnsi="Times New Roman" w:cs="Times New Roman"/>
          <w:b/>
          <w:bCs/>
          <w:sz w:val="16"/>
          <w:szCs w:val="16"/>
          <w:lang w:eastAsia="en-US"/>
        </w:rPr>
      </w:pPr>
    </w:p>
    <w:p w14:paraId="0CFBC302" w14:textId="52AEFA28" w:rsidR="000011CD" w:rsidRPr="00CB623E" w:rsidRDefault="000011CD" w:rsidP="009A7B17">
      <w:pPr>
        <w:numPr>
          <w:ilvl w:val="0"/>
          <w:numId w:val="6"/>
        </w:numPr>
        <w:tabs>
          <w:tab w:val="left" w:pos="0"/>
        </w:tabs>
        <w:spacing w:after="0" w:line="360" w:lineRule="auto"/>
        <w:ind w:left="0" w:firstLine="0"/>
        <w:contextualSpacing/>
        <w:rPr>
          <w:rFonts w:ascii="Times New Roman" w:eastAsia="Times New Roman" w:hAnsi="Times New Roman" w:cs="Times New Roman"/>
          <w:b/>
          <w:color w:val="000000"/>
          <w:sz w:val="24"/>
          <w:szCs w:val="24"/>
          <w:u w:val="single"/>
          <w:lang w:eastAsia="en-US"/>
        </w:rPr>
      </w:pPr>
      <w:r w:rsidRPr="00CB623E">
        <w:rPr>
          <w:rFonts w:ascii="Times New Roman" w:hAnsi="Times New Roman" w:cs="Times New Roman"/>
          <w:b/>
          <w:color w:val="000000"/>
          <w:sz w:val="24"/>
          <w:szCs w:val="24"/>
          <w:u w:val="single"/>
          <w:lang w:eastAsia="en-US"/>
        </w:rPr>
        <w:t>FUNDAMENTAÇÃO E DESCRIÇÃO DA NECESSIDADE DA CONTRATAÇÃO</w:t>
      </w:r>
    </w:p>
    <w:p w14:paraId="3174D388" w14:textId="77777777" w:rsidR="000011CD" w:rsidRPr="00CB623E" w:rsidRDefault="000011CD" w:rsidP="009A7B17">
      <w:pPr>
        <w:numPr>
          <w:ilvl w:val="1"/>
          <w:numId w:val="6"/>
        </w:numPr>
        <w:tabs>
          <w:tab w:val="left" w:pos="0"/>
        </w:tabs>
        <w:spacing w:after="0" w:line="360" w:lineRule="auto"/>
        <w:ind w:left="0" w:firstLine="0"/>
        <w:contextualSpacing/>
        <w:jc w:val="left"/>
        <w:rPr>
          <w:rFonts w:ascii="Times New Roman" w:hAnsi="Times New Roman" w:cs="Times New Roman"/>
          <w:color w:val="000000"/>
          <w:sz w:val="24"/>
          <w:szCs w:val="24"/>
          <w:lang w:eastAsia="en-US"/>
        </w:rPr>
      </w:pPr>
      <w:r w:rsidRPr="00CB623E">
        <w:rPr>
          <w:rFonts w:ascii="Times New Roman" w:hAnsi="Times New Roman" w:cs="Times New Roman"/>
          <w:color w:val="000000"/>
          <w:sz w:val="24"/>
          <w:szCs w:val="24"/>
          <w:lang w:eastAsia="en-US"/>
        </w:rPr>
        <w:t>A Fundamentação da Contratação e de seus quantitativos encontra-se pormenorizada em tópico específico do Estudo Técnico Preliminar, apêndice deste Termo de Referência, que norteou quanto a definição do objeto, viabilidade técnica, econômica e escolha da melhor solução a ser contratada.</w:t>
      </w:r>
    </w:p>
    <w:p w14:paraId="53194A24" w14:textId="77777777" w:rsidR="00C45F07" w:rsidRPr="00CB623E" w:rsidRDefault="00C45F07" w:rsidP="00C45F07">
      <w:pPr>
        <w:tabs>
          <w:tab w:val="left" w:pos="0"/>
        </w:tabs>
        <w:spacing w:after="0" w:line="240" w:lineRule="auto"/>
        <w:contextualSpacing/>
        <w:jc w:val="left"/>
        <w:rPr>
          <w:rFonts w:ascii="Times New Roman" w:hAnsi="Times New Roman" w:cs="Times New Roman"/>
          <w:color w:val="000000"/>
          <w:sz w:val="16"/>
          <w:szCs w:val="16"/>
          <w:lang w:eastAsia="en-US"/>
        </w:rPr>
      </w:pPr>
    </w:p>
    <w:p w14:paraId="65C4A40F" w14:textId="77777777" w:rsidR="000011CD" w:rsidRPr="00CB623E" w:rsidRDefault="000011CD" w:rsidP="009A7B17">
      <w:pPr>
        <w:numPr>
          <w:ilvl w:val="0"/>
          <w:numId w:val="6"/>
        </w:numPr>
        <w:tabs>
          <w:tab w:val="left" w:pos="0"/>
        </w:tabs>
        <w:spacing w:after="0" w:line="360" w:lineRule="auto"/>
        <w:ind w:left="0" w:firstLine="0"/>
        <w:contextualSpacing/>
        <w:rPr>
          <w:rFonts w:ascii="Times New Roman" w:hAnsi="Times New Roman" w:cs="Times New Roman"/>
          <w:sz w:val="24"/>
          <w:szCs w:val="24"/>
          <w:u w:val="single"/>
          <w:lang w:eastAsia="en-US"/>
        </w:rPr>
      </w:pPr>
      <w:r w:rsidRPr="00CB623E">
        <w:rPr>
          <w:rFonts w:ascii="Times New Roman" w:hAnsi="Times New Roman" w:cs="Times New Roman"/>
          <w:b/>
          <w:sz w:val="24"/>
          <w:szCs w:val="24"/>
          <w:u w:val="single"/>
          <w:lang w:eastAsia="en-US"/>
        </w:rPr>
        <w:t>DESCRIÇÃO DA SOLUÇÃO COMO UM TODO</w:t>
      </w:r>
    </w:p>
    <w:p w14:paraId="186F0C14" w14:textId="3D1F0A09"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A presente solução consiste na contratação de empresa especializada para o fornecimento e a recarga de Gás Liquefeito de Petróleo (GLP), acondicionado em botijões dos tipos P13 (13 kg) e P45 (45 kg), destinados ao atendimento das necessidades das unidades escolares do Município de Magé</w:t>
      </w:r>
      <w:r w:rsidR="000F2F15" w:rsidRPr="00CB623E">
        <w:t xml:space="preserve"> e unidades as assistenciais do Município de Magé, pelo</w:t>
      </w:r>
      <w:r w:rsidRPr="00CB623E">
        <w:t xml:space="preserve"> período estimado de 12 (doze) meses</w:t>
      </w:r>
      <w:r w:rsidR="004E7CF2" w:rsidRPr="00CB623E">
        <w:t>, considerando que, além do preparo da alimentação escolar, as unidades assistenciais também demandam o insumo para preparo de refeições e atendimento às necessidades básicas dos usuários atendidos.</w:t>
      </w:r>
    </w:p>
    <w:p w14:paraId="3AA5CA78" w14:textId="77777777" w:rsidR="00267208"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A estimativa do consumo foi elaborada com base em levantamento técnico realizado junto às unidades escolares</w:t>
      </w:r>
      <w:r w:rsidR="004E7CF2" w:rsidRPr="00CB623E">
        <w:t xml:space="preserve"> e unidades assistenciais</w:t>
      </w:r>
      <w:r w:rsidRPr="00CB623E">
        <w:t xml:space="preserve">, </w:t>
      </w:r>
      <w:r w:rsidR="004E7CF2" w:rsidRPr="00CB623E">
        <w:t>considerando a demanda regular para preparo da alimentação escolar, além de eventuais variações decorrentes do calendário letivo</w:t>
      </w:r>
      <w:r w:rsidR="00267208" w:rsidRPr="00CB623E">
        <w:t xml:space="preserve"> e </w:t>
      </w:r>
      <w:r w:rsidR="004E7CF2" w:rsidRPr="00CB623E">
        <w:t xml:space="preserve">da ampliação da rede municipal de ensino. Dá-se também a necessidade do preparo de refeições e demais atividades essenciais nas unidades assistenciais e da ampliação dos atendimentos assistenciais. </w:t>
      </w:r>
    </w:p>
    <w:p w14:paraId="672C7477" w14:textId="35897701"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 xml:space="preserve">Dentre as alternativas disponíveis no mercado, concluiu-se que a solução mais adequada para atendimento ao interesse público é a contratação de empresa especializada para fornecimento e recarga de GLP, com entregas parceladas e sob demanda, diretamente nas </w:t>
      </w:r>
      <w:r w:rsidRPr="00CB623E">
        <w:lastRenderedPageBreak/>
        <w:t xml:space="preserve">unidades </w:t>
      </w:r>
      <w:r w:rsidR="004E7CF2" w:rsidRPr="00CB623E">
        <w:t>descritas neste termo de referência</w:t>
      </w:r>
      <w:r w:rsidRPr="00CB623E">
        <w:t>, garantindo abastecimento contínuo, segurança operacional e eficiência na prestação do serviço público</w:t>
      </w:r>
      <w:r w:rsidR="00267208" w:rsidRPr="00CB623E">
        <w:t>, tendo em vista a essencialidade do serviço tanto para a alimentação escolar quanto para o funcionamento adequado das unidades assistenciais.</w:t>
      </w:r>
    </w:p>
    <w:p w14:paraId="2F7CDCA9" w14:textId="06959ACD"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A adoção dos dois tipos de botijões justifica-se pela diversidade estrutural das unidades escolares</w:t>
      </w:r>
      <w:r w:rsidR="00267208" w:rsidRPr="00CB623E">
        <w:t xml:space="preserve"> e assistenciais</w:t>
      </w:r>
      <w:r w:rsidRPr="00CB623E">
        <w:t>. Os botijões P13 (13 kg) atendem adequadamente unidades de menor porte ou com consumo reduzido, enquanto os botijões P45 (45 kg) são indicados para cozinhas com maior volume de preparo de refeições, assegurando maior autonomia de abastecimento e redução da frequência de trocas</w:t>
      </w:r>
      <w:r w:rsidR="00267208" w:rsidRPr="00CB623E">
        <w:t>, tanto nas unidades escolares quanto nas unidades assistenciais.</w:t>
      </w:r>
    </w:p>
    <w:p w14:paraId="642A1AA8" w14:textId="77777777"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 xml:space="preserve">Todos os recipientes e recargas deverão observar rigorosamente as normas técnicas e de segurança estabelecidas pela </w:t>
      </w:r>
      <w:r w:rsidRPr="00CB623E">
        <w:rPr>
          <w:rStyle w:val="whitespace-normal"/>
        </w:rPr>
        <w:t>Agência Nacional do Petróleo, Gás Natural e Biocombustíveis</w:t>
      </w:r>
      <w:r w:rsidRPr="00CB623E">
        <w:t xml:space="preserve"> (ANP) e pela </w:t>
      </w:r>
      <w:r w:rsidRPr="00CB623E">
        <w:rPr>
          <w:rStyle w:val="whitespace-normal"/>
        </w:rPr>
        <w:t>Associação Brasileira de Normas Técnicas</w:t>
      </w:r>
      <w:r w:rsidRPr="00CB623E">
        <w:t xml:space="preserve"> (ABNT), garantindo a qualidade do produto, a integridade dos recipientes e a segurança das instalações.</w:t>
      </w:r>
    </w:p>
    <w:p w14:paraId="3E4D8203" w14:textId="6637009C"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 xml:space="preserve">Considerando que a demanda é variável, descentralizada e sujeita a fatores sazonais, como o calendário escolar, </w:t>
      </w:r>
      <w:r w:rsidR="00267208" w:rsidRPr="00CB623E">
        <w:t xml:space="preserve">bem como às variações de atendimento nas unidades assistenciais, </w:t>
      </w:r>
      <w:r w:rsidRPr="00CB623E">
        <w:t>verifica-se que a forma mais eficiente de contratação é por meio de Ata de Registro de Preços (ARP). Esse instrumento possibilita a realização de licitação com base em estimativa de consumo, sem obrigatoriedade de aquisição integral dos quantitativos registrados, conferindo maior flexibilidade e racionalidade na gestão dos recursos públicos</w:t>
      </w:r>
      <w:r w:rsidR="00267208" w:rsidRPr="00CB623E">
        <w:t>, considerando a necessidade de atendimento contínuo tanto das unidades escolares quanto das unidades assistenciais.</w:t>
      </w:r>
    </w:p>
    <w:p w14:paraId="3E8184E8" w14:textId="40409487"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A ARP permite requisições conforme a necessidade efetiva de cada unidade escolar</w:t>
      </w:r>
      <w:r w:rsidR="00CE7BB6" w:rsidRPr="00CB623E">
        <w:t xml:space="preserve"> e das unidades assistenciais</w:t>
      </w:r>
      <w:r w:rsidRPr="00CB623E">
        <w:t>, promovendo economicidade, controle orçamentário e eficiência administrativa. Ademais, o registro centralizado favorece economia de escala, possibilitando a obtenção de preços mais vantajosos em razão do agrupamento da demanda.</w:t>
      </w:r>
    </w:p>
    <w:p w14:paraId="09D48DA1" w14:textId="27ED100C" w:rsidR="00376723" w:rsidRPr="00CB623E" w:rsidRDefault="00376723" w:rsidP="009A7B17">
      <w:pPr>
        <w:pStyle w:val="NormalWeb"/>
        <w:numPr>
          <w:ilvl w:val="1"/>
          <w:numId w:val="6"/>
        </w:numPr>
        <w:tabs>
          <w:tab w:val="left" w:pos="0"/>
        </w:tabs>
        <w:spacing w:before="0" w:beforeAutospacing="0" w:after="0" w:afterAutospacing="0" w:line="360" w:lineRule="auto"/>
        <w:ind w:left="0" w:firstLine="0"/>
        <w:jc w:val="both"/>
      </w:pPr>
      <w:r w:rsidRPr="00CB623E">
        <w:t>Assim, diante da natureza do objeto, da essencialidade do insumo para a execução do Programa de Alimentação Escolar</w:t>
      </w:r>
      <w:r w:rsidR="00CE7BB6" w:rsidRPr="00CB623E">
        <w:t>, bem como para o atendimento das necessidades básicas das unidades assistenciais,</w:t>
      </w:r>
      <w:r w:rsidRPr="00CB623E">
        <w:t xml:space="preserve"> e da necessidade de abastecimento contínuo e seguro, conclui-se que a adoção da Ata de Registro de Preços é a solução mais adequada para garantir regularidade no fornecimento de GLP às unidades escolares</w:t>
      </w:r>
      <w:r w:rsidR="00CE7BB6" w:rsidRPr="00CB623E">
        <w:t xml:space="preserve"> e assistenciais</w:t>
      </w:r>
      <w:r w:rsidRPr="00CB623E">
        <w:t xml:space="preserve"> do Município de Magé, em conformidade com as disposições da </w:t>
      </w:r>
      <w:r w:rsidRPr="00CB623E">
        <w:rPr>
          <w:rStyle w:val="whitespace-normal"/>
        </w:rPr>
        <w:t>Lei nº 14.133/2021</w:t>
      </w:r>
      <w:r w:rsidRPr="00CB623E">
        <w:t>, assegurando legalidade, eficiência e adequada gestão dos recursos públicos.</w:t>
      </w:r>
    </w:p>
    <w:p w14:paraId="7D71D725" w14:textId="77777777" w:rsidR="00AB7C32" w:rsidRPr="00CB623E" w:rsidRDefault="00AB7C32" w:rsidP="009A7B17">
      <w:pPr>
        <w:pStyle w:val="PargrafodaLista"/>
        <w:numPr>
          <w:ilvl w:val="1"/>
          <w:numId w:val="6"/>
        </w:numPr>
        <w:tabs>
          <w:tab w:val="left" w:pos="0"/>
        </w:tabs>
        <w:spacing w:after="0" w:line="360" w:lineRule="auto"/>
        <w:ind w:left="0" w:firstLine="0"/>
        <w:rPr>
          <w:rFonts w:ascii="Times New Roman" w:eastAsia="Arial" w:hAnsi="Times New Roman" w:cs="Times New Roman"/>
          <w:sz w:val="24"/>
          <w:szCs w:val="24"/>
          <w:u w:val="single"/>
          <w:lang w:eastAsia="en-US"/>
        </w:rPr>
      </w:pPr>
      <w:r w:rsidRPr="00CB623E">
        <w:rPr>
          <w:rFonts w:ascii="Times New Roman" w:eastAsia="Arial" w:hAnsi="Times New Roman" w:cs="Times New Roman"/>
          <w:b/>
          <w:bCs/>
          <w:sz w:val="24"/>
          <w:szCs w:val="24"/>
          <w:u w:val="single"/>
          <w:lang w:eastAsia="en-US"/>
        </w:rPr>
        <w:t>Padrões mínimos de qualidade</w:t>
      </w:r>
    </w:p>
    <w:p w14:paraId="264486CF" w14:textId="2BDD30C4" w:rsidR="00AB7C32" w:rsidRPr="00CB623E" w:rsidRDefault="00AB7C32" w:rsidP="009A7B17">
      <w:pPr>
        <w:pStyle w:val="PargrafodaLista"/>
        <w:numPr>
          <w:ilvl w:val="2"/>
          <w:numId w:val="6"/>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Todos os materiais fornecidos no âmbito do contrato deverão atender aos seguintes padrões mínimos de qualidade, como condição para sua aceitação pela Administração:</w:t>
      </w:r>
    </w:p>
    <w:p w14:paraId="2DF47955" w14:textId="3B5FAC22" w:rsidR="00AB7C32" w:rsidRPr="00CB623E" w:rsidRDefault="00AB7C32" w:rsidP="009A7B17">
      <w:pPr>
        <w:pStyle w:val="PargrafodaLista"/>
        <w:numPr>
          <w:ilvl w:val="2"/>
          <w:numId w:val="6"/>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Os itens deverão ser novos, de primeiro uso, em perfeito estado de conservação e funcionamento, livres de defeitos de fabricação, riscos, arranhões, deformações ou qualquer dano que comprometa sua aparência ou funcionalidade.</w:t>
      </w:r>
    </w:p>
    <w:p w14:paraId="591A7FC2" w14:textId="77777777" w:rsidR="00287E5B" w:rsidRPr="00CB623E" w:rsidRDefault="00287E5B" w:rsidP="00C45F07">
      <w:pPr>
        <w:pStyle w:val="PargrafodaLista"/>
        <w:tabs>
          <w:tab w:val="left" w:pos="0"/>
        </w:tabs>
        <w:spacing w:after="0" w:line="240" w:lineRule="auto"/>
        <w:ind w:left="0"/>
        <w:rPr>
          <w:rFonts w:ascii="Times New Roman" w:eastAsia="Arial" w:hAnsi="Times New Roman" w:cs="Times New Roman"/>
          <w:sz w:val="16"/>
          <w:szCs w:val="16"/>
          <w:lang w:eastAsia="en-US"/>
        </w:rPr>
      </w:pPr>
    </w:p>
    <w:p w14:paraId="26B1E543" w14:textId="77777777" w:rsidR="000011CD" w:rsidRPr="00CB623E" w:rsidRDefault="000011CD" w:rsidP="009A7B17">
      <w:pPr>
        <w:numPr>
          <w:ilvl w:val="0"/>
          <w:numId w:val="6"/>
        </w:numPr>
        <w:tabs>
          <w:tab w:val="left" w:pos="0"/>
          <w:tab w:val="left" w:pos="420"/>
        </w:tabs>
        <w:spacing w:after="0" w:line="360" w:lineRule="auto"/>
        <w:ind w:left="0" w:firstLine="0"/>
        <w:contextualSpacing/>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REQUISITOS DA CONTRATAÇÃO</w:t>
      </w:r>
    </w:p>
    <w:p w14:paraId="2E57BEEC" w14:textId="67795076" w:rsidR="007D5944" w:rsidRPr="00CB623E" w:rsidRDefault="007D5944" w:rsidP="009A7B17">
      <w:pPr>
        <w:pStyle w:val="PargrafodaLista"/>
        <w:numPr>
          <w:ilvl w:val="1"/>
          <w:numId w:val="6"/>
        </w:numPr>
        <w:tabs>
          <w:tab w:val="left" w:pos="0"/>
        </w:tabs>
        <w:spacing w:after="0" w:line="360" w:lineRule="auto"/>
        <w:ind w:left="0" w:firstLine="0"/>
        <w:rPr>
          <w:rFonts w:ascii="Times New Roman" w:eastAsia="Arial" w:hAnsi="Times New Roman" w:cs="Times New Roman"/>
          <w:b/>
          <w:bCs/>
          <w:sz w:val="24"/>
          <w:szCs w:val="24"/>
          <w:lang w:eastAsia="en-US"/>
        </w:rPr>
      </w:pPr>
      <w:r w:rsidRPr="00CB623E">
        <w:rPr>
          <w:rFonts w:ascii="Times New Roman" w:eastAsia="Arial" w:hAnsi="Times New Roman" w:cs="Times New Roman"/>
          <w:b/>
          <w:bCs/>
          <w:sz w:val="24"/>
          <w:szCs w:val="24"/>
          <w:lang w:eastAsia="en-US"/>
        </w:rPr>
        <w:t xml:space="preserve"> </w:t>
      </w:r>
      <w:r w:rsidRPr="00CB623E">
        <w:rPr>
          <w:rFonts w:ascii="Times New Roman" w:hAnsi="Times New Roman" w:cs="Times New Roman"/>
          <w:b/>
          <w:sz w:val="24"/>
          <w:szCs w:val="24"/>
          <w:u w:val="single"/>
          <w:lang w:eastAsia="en-US"/>
        </w:rPr>
        <w:t>Requisitos Gerais</w:t>
      </w:r>
    </w:p>
    <w:p w14:paraId="77443F38" w14:textId="0EC5DA1C" w:rsidR="007D5944" w:rsidRPr="00CB623E" w:rsidRDefault="007D5944" w:rsidP="009A7B17">
      <w:pPr>
        <w:pStyle w:val="PargrafodaLista"/>
        <w:numPr>
          <w:ilvl w:val="0"/>
          <w:numId w:val="40"/>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Produto: Gás Liquefeito de Petróleo – GLP (Gás de Cozinha)</w:t>
      </w:r>
    </w:p>
    <w:p w14:paraId="103A3F3B"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Composição: Propano e Butano, em proporções comerciais.</w:t>
      </w:r>
    </w:p>
    <w:p w14:paraId="259885E3"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Características: Produto altamente tóxico e inflamável, uso doméstico/comercial.</w:t>
      </w:r>
    </w:p>
    <w:p w14:paraId="67552BEE" w14:textId="6F40C686"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Tipo: Gás comercial a granel, conforme aplicação.</w:t>
      </w:r>
    </w:p>
    <w:p w14:paraId="49833AD4"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 Deve atender às seguintes normas:</w:t>
      </w:r>
    </w:p>
    <w:p w14:paraId="4A74AA09"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 •RESOLUÇÃO ANP Nº 931, DE 5 DE OUTUBRO DE 2023 - DOU DE 09-10-2023 </w:t>
      </w:r>
    </w:p>
    <w:p w14:paraId="78ABFEFF"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 •NBR 14024 da ABNT (para botijões de 13 kg)</w:t>
      </w:r>
    </w:p>
    <w:p w14:paraId="796273C5" w14:textId="6549BF71"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 •NBR 140224 da ABNT (para botijões P45)</w:t>
      </w:r>
    </w:p>
    <w:p w14:paraId="51004593" w14:textId="5E2647DE" w:rsidR="007D5944" w:rsidRPr="00CB623E" w:rsidRDefault="007D5944" w:rsidP="009A7B17">
      <w:pPr>
        <w:pStyle w:val="PargrafodaLista"/>
        <w:numPr>
          <w:ilvl w:val="1"/>
          <w:numId w:val="6"/>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hAnsi="Times New Roman" w:cs="Times New Roman"/>
          <w:b/>
          <w:sz w:val="24"/>
          <w:szCs w:val="24"/>
          <w:u w:val="single"/>
          <w:lang w:eastAsia="en-US"/>
        </w:rPr>
        <w:t xml:space="preserve"> Itens Contratados</w:t>
      </w:r>
      <w:r w:rsidRPr="00CB623E">
        <w:rPr>
          <w:rFonts w:ascii="Times New Roman" w:eastAsia="Arial" w:hAnsi="Times New Roman" w:cs="Times New Roman"/>
          <w:b/>
          <w:bCs/>
          <w:sz w:val="24"/>
          <w:szCs w:val="24"/>
          <w:lang w:eastAsia="en-US"/>
        </w:rPr>
        <w:t>:</w:t>
      </w:r>
    </w:p>
    <w:p w14:paraId="1279FFBB"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Recarga de Botijão de 13 kg – Sem Vasilhame</w:t>
      </w:r>
    </w:p>
    <w:p w14:paraId="6D546EEA"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Fornecimento apenas da recarga de gás GLP, sem troca de botijão.</w:t>
      </w:r>
    </w:p>
    <w:p w14:paraId="5B2FF9DF"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O vasilhame será disponibilizado pela Administração.</w:t>
      </w:r>
    </w:p>
    <w:p w14:paraId="5A91CB62"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O produto deve estar em conformidade com as normas da ANP e ABNT citadas.</w:t>
      </w:r>
    </w:p>
    <w:p w14:paraId="2634539B"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b) Recarga de Botijão de 13 kg – Com Vasilhame</w:t>
      </w:r>
    </w:p>
    <w:p w14:paraId="40783574"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Fornecimento da recarga do gás + fornecimento do vasilhame (botijão) em condições adequadas.</w:t>
      </w:r>
    </w:p>
    <w:p w14:paraId="5EA77C4E"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Botijões devem ser retornáveis, revisados e requalificados conforme exigências legais (INMETRO).</w:t>
      </w:r>
    </w:p>
    <w:p w14:paraId="5A589C05"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O fornecedor será responsável pela troca dos vasilhames cheios por vazios, no local.</w:t>
      </w:r>
    </w:p>
    <w:p w14:paraId="146643EF"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 Recarga de Botijão de 45 kg (P45) – Sem Vasilhame</w:t>
      </w:r>
    </w:p>
    <w:p w14:paraId="3248F2AE"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Fornecimento apenas do gás GLP, acondicionado em cilindros de 45 kg, sem fornecimento do recipiente.</w:t>
      </w:r>
    </w:p>
    <w:p w14:paraId="3392C24C"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O produto deve estar pronto para uso, conforme normas da ANP e da ABNT.</w:t>
      </w:r>
    </w:p>
    <w:p w14:paraId="2034A338"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O fornecimento será feito com base no cronograma ou demanda da Administração.</w:t>
      </w:r>
    </w:p>
    <w:p w14:paraId="1E666B5F" w14:textId="2FC737FF"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 Recarga de Botijão de 45 kg – Com Vasilhame</w:t>
      </w:r>
    </w:p>
    <w:p w14:paraId="5A31CEB0"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Fornecimento da recarga do gás + fornecimento do vasilhame (botijão) em condições adequadas.</w:t>
      </w:r>
    </w:p>
    <w:p w14:paraId="43D31219"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Botijões devem ser retornáveis, revisados e requalificados conforme exigências legais (INMETRO).</w:t>
      </w:r>
    </w:p>
    <w:p w14:paraId="136A32F5"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 O fornecedor será responsável pela troca dos vasilhames cheios por vazios, no local.</w:t>
      </w:r>
    </w:p>
    <w:p w14:paraId="6C31ADBA" w14:textId="091CA2BB" w:rsidR="007D5944" w:rsidRPr="00CB623E" w:rsidRDefault="007D5944" w:rsidP="009A7B17">
      <w:pPr>
        <w:pStyle w:val="PargrafodaLista"/>
        <w:numPr>
          <w:ilvl w:val="1"/>
          <w:numId w:val="6"/>
        </w:numPr>
        <w:tabs>
          <w:tab w:val="left" w:pos="0"/>
        </w:tabs>
        <w:spacing w:after="0" w:line="360" w:lineRule="auto"/>
        <w:ind w:left="0" w:firstLine="0"/>
        <w:rPr>
          <w:rFonts w:ascii="Times New Roman" w:eastAsia="Arial" w:hAnsi="Times New Roman" w:cs="Times New Roman"/>
          <w:b/>
          <w:bCs/>
          <w:sz w:val="24"/>
          <w:szCs w:val="24"/>
          <w:lang w:eastAsia="en-US"/>
        </w:rPr>
      </w:pPr>
      <w:r w:rsidRPr="00CB623E">
        <w:rPr>
          <w:rFonts w:ascii="Times New Roman" w:hAnsi="Times New Roman" w:cs="Times New Roman"/>
          <w:b/>
          <w:sz w:val="24"/>
          <w:szCs w:val="24"/>
          <w:u w:val="single"/>
          <w:lang w:eastAsia="en-US"/>
        </w:rPr>
        <w:t>Outros Requisitos Obrigatórios</w:t>
      </w:r>
      <w:r w:rsidRPr="00CB623E">
        <w:rPr>
          <w:rFonts w:ascii="Times New Roman" w:eastAsia="Arial" w:hAnsi="Times New Roman" w:cs="Times New Roman"/>
          <w:b/>
          <w:bCs/>
          <w:sz w:val="24"/>
          <w:szCs w:val="24"/>
          <w:lang w:eastAsia="en-US"/>
        </w:rPr>
        <w:t>:</w:t>
      </w:r>
    </w:p>
    <w:p w14:paraId="48E2B8C6"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A empresa fornecedora deve estar autorizada pela ANP para comercialização de GLP.</w:t>
      </w:r>
    </w:p>
    <w:p w14:paraId="3CD755AD"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Transporte deve estar de acordo com as normas de segurança para produtos perigosos (resoluções da</w:t>
      </w:r>
    </w:p>
    <w:p w14:paraId="2BFEAE35"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ANTT).</w:t>
      </w:r>
    </w:p>
    <w:p w14:paraId="646DF15B"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Botijões e cilindros devem estar lacrados, limpos, sem amassados, ferrugem ou vazamentos.</w:t>
      </w:r>
    </w:p>
    <w:p w14:paraId="68D1228C" w14:textId="77777777" w:rsidR="007D5944" w:rsidRPr="00CB623E" w:rsidRDefault="007D5944" w:rsidP="009A7B17">
      <w:pPr>
        <w:tabs>
          <w:tab w:val="left" w:pos="0"/>
        </w:tabs>
        <w:spacing w:after="0" w:line="360" w:lineRule="auto"/>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Produtos devem ser entregues com nota fiscal, informando número do lote e data de envase.</w:t>
      </w:r>
    </w:p>
    <w:p w14:paraId="45A72708" w14:textId="5584103F" w:rsidR="008349F6" w:rsidRPr="00CB623E" w:rsidRDefault="007D5944" w:rsidP="004861BC">
      <w:pPr>
        <w:pStyle w:val="PargrafodaLista"/>
        <w:numPr>
          <w:ilvl w:val="1"/>
          <w:numId w:val="6"/>
        </w:numPr>
        <w:tabs>
          <w:tab w:val="left" w:pos="0"/>
          <w:tab w:val="left" w:pos="567"/>
        </w:tabs>
        <w:spacing w:after="0" w:line="360" w:lineRule="auto"/>
        <w:ind w:left="0" w:firstLine="0"/>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A contratação de fornecimento e recarga de gás GLP (botijões de 13 kg e P45) deve garantir o abastecimento contínuo, seguro e regular para todas as </w:t>
      </w:r>
      <w:r w:rsidR="00CE7BB6" w:rsidRPr="00CB623E">
        <w:rPr>
          <w:rFonts w:ascii="Times New Roman" w:eastAsia="Arial" w:hAnsi="Times New Roman" w:cs="Times New Roman"/>
          <w:sz w:val="24"/>
          <w:szCs w:val="24"/>
          <w:lang w:eastAsia="en-US"/>
        </w:rPr>
        <w:t>unidades escolares e assistenciais</w:t>
      </w:r>
      <w:r w:rsidRPr="00CB623E">
        <w:rPr>
          <w:rFonts w:ascii="Times New Roman" w:eastAsia="Arial" w:hAnsi="Times New Roman" w:cs="Times New Roman"/>
          <w:sz w:val="24"/>
          <w:szCs w:val="24"/>
          <w:lang w:eastAsia="en-US"/>
        </w:rPr>
        <w:t>, assegurando o preparo de refeições em escolas</w:t>
      </w:r>
      <w:r w:rsidR="00903B38" w:rsidRPr="00CB623E">
        <w:rPr>
          <w:rFonts w:ascii="Times New Roman" w:eastAsia="Arial" w:hAnsi="Times New Roman" w:cs="Times New Roman"/>
          <w:sz w:val="24"/>
          <w:szCs w:val="24"/>
          <w:lang w:eastAsia="en-US"/>
        </w:rPr>
        <w:t xml:space="preserve"> e nas unidades assistenciais, considerando a essencialidade desses serviços para atendimento à população</w:t>
      </w:r>
      <w:r w:rsidRPr="00CB623E">
        <w:rPr>
          <w:rFonts w:ascii="Times New Roman" w:eastAsia="Arial" w:hAnsi="Times New Roman" w:cs="Times New Roman"/>
          <w:sz w:val="24"/>
          <w:szCs w:val="24"/>
          <w:lang w:eastAsia="en-US"/>
        </w:rPr>
        <w:t>. O objeto precisa atender a requisitos técnicos, logísticos, legais e de segurança, incluindo entrega no local, substituição dos vasilhames, conformidade com normas da ANP e INMETRO, e regularidade fiscal da empresa contratada. Esses critérios são essenciais para garantir a continuidade dos serviços públicos essenciais à população.</w:t>
      </w:r>
      <w:r w:rsidR="00903B38" w:rsidRPr="00CB623E">
        <w:rPr>
          <w:rFonts w:ascii="Times New Roman" w:eastAsia="Arial" w:hAnsi="Times New Roman" w:cs="Times New Roman"/>
          <w:sz w:val="24"/>
          <w:szCs w:val="24"/>
          <w:lang w:eastAsia="en-US"/>
        </w:rPr>
        <w:t xml:space="preserve"> </w:t>
      </w:r>
    </w:p>
    <w:p w14:paraId="64334C00" w14:textId="0162138C" w:rsidR="000011CD" w:rsidRPr="00CB623E" w:rsidRDefault="000011CD" w:rsidP="00256F01">
      <w:pPr>
        <w:pStyle w:val="PargrafodaLista"/>
        <w:numPr>
          <w:ilvl w:val="1"/>
          <w:numId w:val="6"/>
        </w:numPr>
        <w:tabs>
          <w:tab w:val="left" w:pos="0"/>
        </w:tabs>
        <w:spacing w:after="0" w:line="360" w:lineRule="auto"/>
        <w:ind w:left="0" w:firstLine="0"/>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Subcontratação</w:t>
      </w:r>
    </w:p>
    <w:p w14:paraId="7079ADD7" w14:textId="77777777" w:rsidR="00047003" w:rsidRPr="00CB623E" w:rsidRDefault="00047003" w:rsidP="00256F01">
      <w:pPr>
        <w:tabs>
          <w:tab w:val="left" w:pos="0"/>
          <w:tab w:val="left" w:pos="567"/>
        </w:tabs>
        <w:spacing w:after="0" w:line="360" w:lineRule="auto"/>
        <w:rPr>
          <w:rFonts w:ascii="Times New Roman" w:hAnsi="Times New Roman" w:cs="Times New Roman"/>
          <w:b/>
          <w:sz w:val="24"/>
          <w:szCs w:val="24"/>
          <w:lang w:eastAsia="en-US"/>
        </w:rPr>
      </w:pPr>
      <w:r w:rsidRPr="00CB623E">
        <w:rPr>
          <w:rFonts w:ascii="Times New Roman" w:eastAsia="Times New Roman" w:hAnsi="Times New Roman" w:cs="Times New Roman"/>
          <w:sz w:val="24"/>
          <w:szCs w:val="24"/>
        </w:rPr>
        <w:t>Não será admitida a subcontratação total ou parcial do fornecimento objeto deste Termo de Referência, tampouco a transferência de responsabilidade pela execução do objeto a outra empresa ou instituição de qualquer natureza, sem prejuízo da utilização, pela contratada, de sua própria cadeia regular de suprimentos, transporte e distribuição, desde que permaneça integralmente responsável perante a Administração.</w:t>
      </w:r>
    </w:p>
    <w:p w14:paraId="17E639F8" w14:textId="41865277" w:rsidR="000011CD" w:rsidRPr="00CB623E" w:rsidRDefault="00256F01" w:rsidP="00047003">
      <w:pPr>
        <w:tabs>
          <w:tab w:val="left" w:pos="0"/>
        </w:tabs>
        <w:spacing w:after="0" w:line="360" w:lineRule="auto"/>
        <w:rPr>
          <w:rFonts w:ascii="Times New Roman" w:hAnsi="Times New Roman" w:cs="Times New Roman"/>
          <w:b/>
          <w:sz w:val="24"/>
          <w:szCs w:val="24"/>
          <w:lang w:eastAsia="en-US"/>
        </w:rPr>
      </w:pPr>
      <w:r w:rsidRPr="00CB623E">
        <w:rPr>
          <w:rFonts w:ascii="Times New Roman" w:eastAsia="Times New Roman" w:hAnsi="Times New Roman" w:cs="Times New Roman"/>
          <w:b/>
          <w:bCs/>
        </w:rPr>
        <w:t xml:space="preserve">4.6.    </w:t>
      </w:r>
      <w:r w:rsidRPr="00CB623E">
        <w:rPr>
          <w:rFonts w:ascii="Times New Roman" w:hAnsi="Times New Roman" w:cs="Times New Roman"/>
          <w:b/>
          <w:sz w:val="24"/>
          <w:szCs w:val="24"/>
          <w:u w:val="single"/>
          <w:lang w:eastAsia="en-US"/>
        </w:rPr>
        <w:t>Da garantia da contratação e da garantia da proposta</w:t>
      </w:r>
    </w:p>
    <w:p w14:paraId="001F0FFD" w14:textId="1647495F" w:rsidR="00047003" w:rsidRPr="00CB623E" w:rsidRDefault="00047003" w:rsidP="004861BC">
      <w:pPr>
        <w:pBdr>
          <w:top w:val="nil"/>
          <w:left w:val="nil"/>
          <w:bottom w:val="nil"/>
          <w:right w:val="nil"/>
          <w:between w:val="nil"/>
        </w:pBdr>
        <w:tabs>
          <w:tab w:val="left" w:pos="709"/>
        </w:tabs>
        <w:spacing w:after="0" w:line="360" w:lineRule="auto"/>
        <w:ind w:right="-550"/>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Não será exigida garantia de execução contratual, considerando a natureza do objeto, consistente no fornecimento parcelado de bens comuns, bem como a avaliação de proporcionalidade realizada na fase de planejamento da contratação. A Administração optou por concentrar a exigência assecuratória na garantia da proposta, prevista no art. 58 da Lei Federal nº 14.133/2021, voltada à mitigação dos riscos identificados na fase licitatória, especialmente desistência injustificada, não manutenção da proposta e recusa na assinatura da Ata de Registro de Preços ou instrumento contratual.</w:t>
      </w:r>
    </w:p>
    <w:p w14:paraId="42B502AD" w14:textId="7D8F454E" w:rsidR="00047003" w:rsidRPr="00CB623E" w:rsidRDefault="00047003" w:rsidP="004E7F97">
      <w:pPr>
        <w:pBdr>
          <w:top w:val="nil"/>
          <w:left w:val="nil"/>
          <w:bottom w:val="nil"/>
          <w:right w:val="nil"/>
          <w:between w:val="nil"/>
        </w:pBdr>
        <w:spacing w:after="0" w:line="360" w:lineRule="auto"/>
        <w:ind w:right="-550"/>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A dispensa da garantia de execução contratual não afasta a responsabilidade integral da contratada pela qualidade, conformidade, validade, substituição e garantia legal ou contratual dos bens fornecidos, nem prejudica a aplicação das sanções administrativas cabíveis, a rejeição de materiais em desconformidade, o cancelamento da Ata de Registro de Preços, a retenção de pagamentos, quando cabível, e a reparação integral de eventuais prejuízos causados à Administração.</w:t>
      </w:r>
    </w:p>
    <w:p w14:paraId="35346F4E" w14:textId="003C54B7" w:rsidR="00047003" w:rsidRPr="00CB623E" w:rsidRDefault="004E7F97" w:rsidP="00047003">
      <w:pPr>
        <w:spacing w:after="0" w:line="360" w:lineRule="auto"/>
        <w:ind w:right="-550"/>
        <w:rPr>
          <w:sz w:val="24"/>
          <w:szCs w:val="24"/>
        </w:rPr>
      </w:pPr>
      <w:r w:rsidRPr="00CB623E">
        <w:rPr>
          <w:rFonts w:ascii="Times New Roman" w:eastAsia="Times New Roman" w:hAnsi="Times New Roman" w:cs="Times New Roman"/>
          <w:b/>
          <w:bCs/>
          <w:sz w:val="24"/>
          <w:szCs w:val="24"/>
        </w:rPr>
        <w:lastRenderedPageBreak/>
        <w:t>4.6.</w:t>
      </w:r>
      <w:r w:rsidR="00256F01" w:rsidRPr="00CB623E">
        <w:rPr>
          <w:rFonts w:ascii="Times New Roman" w:eastAsia="Times New Roman" w:hAnsi="Times New Roman" w:cs="Times New Roman"/>
          <w:b/>
          <w:bCs/>
          <w:sz w:val="24"/>
          <w:szCs w:val="24"/>
        </w:rPr>
        <w:t>1</w:t>
      </w:r>
      <w:r w:rsidR="00047003" w:rsidRPr="00CB623E">
        <w:rPr>
          <w:rFonts w:ascii="Times New Roman" w:eastAsia="Times New Roman" w:hAnsi="Times New Roman" w:cs="Times New Roman"/>
          <w:b/>
          <w:bCs/>
          <w:sz w:val="24"/>
          <w:szCs w:val="24"/>
        </w:rPr>
        <w:t>.</w:t>
      </w:r>
      <w:r w:rsidR="00047003" w:rsidRPr="00CB623E">
        <w:rPr>
          <w:rFonts w:ascii="Times New Roman" w:eastAsia="Times New Roman" w:hAnsi="Times New Roman" w:cs="Times New Roman"/>
          <w:sz w:val="24"/>
          <w:szCs w:val="24"/>
        </w:rPr>
        <w:t xml:space="preserve"> </w:t>
      </w:r>
      <w:r w:rsidR="00141E7F" w:rsidRPr="00CB623E">
        <w:rPr>
          <w:rFonts w:ascii="Times New Roman" w:hAnsi="Times New Roman" w:cs="Times New Roman"/>
        </w:rPr>
        <w:t>Será exigida garantia de proposta correspondente a 1% (um por cento) do valor estimado do(s) itens (s) disputado(s)</w:t>
      </w:r>
      <w:r w:rsidR="00047003" w:rsidRPr="00CB623E">
        <w:rPr>
          <w:rFonts w:ascii="Times New Roman" w:eastAsia="Times New Roman" w:hAnsi="Times New Roman" w:cs="Times New Roman"/>
          <w:sz w:val="24"/>
          <w:szCs w:val="24"/>
        </w:rPr>
        <w:t>, a ser apresentada pela licitante no ato do cadastramento da proposta no sistema eletrônico Portal de Compras Públicas, sob pena de desclassificação da proposta, conforme previsto no Edital.</w:t>
      </w:r>
    </w:p>
    <w:p w14:paraId="379EDE00" w14:textId="2050AA13" w:rsidR="00047003" w:rsidRPr="00CB623E" w:rsidRDefault="004E7F97" w:rsidP="00047003">
      <w:pPr>
        <w:spacing w:after="0" w:line="360" w:lineRule="auto"/>
        <w:ind w:right="-550"/>
        <w:rPr>
          <w:sz w:val="24"/>
          <w:szCs w:val="24"/>
        </w:rPr>
      </w:pPr>
      <w:r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b/>
          <w:bCs/>
          <w:sz w:val="24"/>
          <w:szCs w:val="24"/>
        </w:rPr>
        <w:t>.</w:t>
      </w:r>
      <w:r w:rsidRPr="00CB623E">
        <w:rPr>
          <w:rFonts w:ascii="Times New Roman" w:eastAsia="Times New Roman" w:hAnsi="Times New Roman" w:cs="Times New Roman"/>
          <w:b/>
          <w:bCs/>
          <w:sz w:val="24"/>
          <w:szCs w:val="24"/>
        </w:rPr>
        <w:t>6.</w:t>
      </w:r>
      <w:r w:rsidR="00256F01" w:rsidRPr="00CB623E">
        <w:rPr>
          <w:rFonts w:ascii="Times New Roman" w:eastAsia="Times New Roman" w:hAnsi="Times New Roman" w:cs="Times New Roman"/>
          <w:b/>
          <w:bCs/>
          <w:sz w:val="24"/>
          <w:szCs w:val="24"/>
        </w:rPr>
        <w:t>2</w:t>
      </w:r>
      <w:r w:rsidR="00047003" w:rsidRPr="00CB623E">
        <w:rPr>
          <w:rFonts w:ascii="Times New Roman" w:eastAsia="Times New Roman" w:hAnsi="Times New Roman" w:cs="Times New Roman"/>
          <w:b/>
          <w:bCs/>
          <w:sz w:val="24"/>
          <w:szCs w:val="24"/>
        </w:rPr>
        <w:t>.</w:t>
      </w:r>
      <w:r w:rsidR="00047003" w:rsidRPr="00CB623E">
        <w:rPr>
          <w:rFonts w:ascii="Times New Roman" w:eastAsia="Times New Roman" w:hAnsi="Times New Roman" w:cs="Times New Roman"/>
          <w:sz w:val="24"/>
          <w:szCs w:val="24"/>
        </w:rPr>
        <w:t xml:space="preserve"> A garantia de proposta poderá ser prestada em uma das modalidades previstas no art. 96, §1º, da Lei Federal nº 14.133/2021: caução em dinheiro, seguro-garantia ou fiança bancária.</w:t>
      </w:r>
    </w:p>
    <w:p w14:paraId="64B77798" w14:textId="035D9107" w:rsidR="00047003" w:rsidRPr="00CB623E" w:rsidRDefault="004E7F97" w:rsidP="00047003">
      <w:pPr>
        <w:spacing w:after="0" w:line="360" w:lineRule="auto"/>
        <w:ind w:right="-550"/>
        <w:rPr>
          <w:sz w:val="24"/>
          <w:szCs w:val="24"/>
        </w:rPr>
      </w:pPr>
      <w:r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b/>
          <w:bCs/>
          <w:sz w:val="24"/>
          <w:szCs w:val="24"/>
        </w:rPr>
        <w:t>.</w:t>
      </w:r>
      <w:r w:rsidRPr="00CB623E">
        <w:rPr>
          <w:rFonts w:ascii="Times New Roman" w:eastAsia="Times New Roman" w:hAnsi="Times New Roman" w:cs="Times New Roman"/>
          <w:b/>
          <w:bCs/>
          <w:sz w:val="24"/>
          <w:szCs w:val="24"/>
        </w:rPr>
        <w:t>6</w:t>
      </w:r>
      <w:r w:rsidR="00047003" w:rsidRPr="00CB623E">
        <w:rPr>
          <w:rFonts w:ascii="Times New Roman" w:eastAsia="Times New Roman" w:hAnsi="Times New Roman" w:cs="Times New Roman"/>
          <w:b/>
          <w:bCs/>
          <w:sz w:val="24"/>
          <w:szCs w:val="24"/>
        </w:rPr>
        <w:t>.</w:t>
      </w:r>
      <w:r w:rsidR="00256F01" w:rsidRPr="00CB623E">
        <w:rPr>
          <w:rFonts w:ascii="Times New Roman" w:eastAsia="Times New Roman" w:hAnsi="Times New Roman" w:cs="Times New Roman"/>
          <w:b/>
          <w:bCs/>
          <w:sz w:val="24"/>
          <w:szCs w:val="24"/>
        </w:rPr>
        <w:t>3</w:t>
      </w:r>
      <w:r w:rsidR="00047003" w:rsidRPr="00CB623E">
        <w:rPr>
          <w:rFonts w:ascii="Times New Roman" w:eastAsia="Times New Roman" w:hAnsi="Times New Roman" w:cs="Times New Roman"/>
          <w:sz w:val="24"/>
          <w:szCs w:val="24"/>
        </w:rPr>
        <w:t>. A garantia de proposta deverá possuir validade mínima de 90 (noventa) dias, contados da data de abertura da sessão pública.</w:t>
      </w:r>
    </w:p>
    <w:p w14:paraId="6D73FB00" w14:textId="5F8EFBD1" w:rsidR="00047003" w:rsidRPr="00CB623E" w:rsidRDefault="004E7F97" w:rsidP="00047003">
      <w:pPr>
        <w:spacing w:after="0" w:line="360" w:lineRule="auto"/>
        <w:ind w:right="-550"/>
        <w:rPr>
          <w:sz w:val="24"/>
          <w:szCs w:val="24"/>
        </w:rPr>
      </w:pPr>
      <w:r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b/>
          <w:bCs/>
          <w:sz w:val="24"/>
          <w:szCs w:val="24"/>
        </w:rPr>
        <w:t>.</w:t>
      </w:r>
      <w:r w:rsidRPr="00CB623E">
        <w:rPr>
          <w:rFonts w:ascii="Times New Roman" w:eastAsia="Times New Roman" w:hAnsi="Times New Roman" w:cs="Times New Roman"/>
          <w:b/>
          <w:bCs/>
          <w:sz w:val="24"/>
          <w:szCs w:val="24"/>
        </w:rPr>
        <w:t>6</w:t>
      </w:r>
      <w:r w:rsidR="00047003" w:rsidRPr="00CB623E">
        <w:rPr>
          <w:rFonts w:ascii="Times New Roman" w:eastAsia="Times New Roman" w:hAnsi="Times New Roman" w:cs="Times New Roman"/>
          <w:b/>
          <w:bCs/>
          <w:sz w:val="24"/>
          <w:szCs w:val="24"/>
        </w:rPr>
        <w:t>.</w:t>
      </w:r>
      <w:r w:rsidR="00256F01"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sz w:val="24"/>
          <w:szCs w:val="24"/>
        </w:rPr>
        <w:t>. A garantia de proposta será devolvida às licitantes no prazo de até 10 (dez) dias úteis, contado da assinatura da Ata de Registro de Preços ou do contrato, ou da revogação, anulação ou declaração de fracasso do certame, conforme regra editalícia.</w:t>
      </w:r>
    </w:p>
    <w:p w14:paraId="157127B6" w14:textId="3142034E" w:rsidR="00047003" w:rsidRPr="00CB623E" w:rsidRDefault="004E7F97" w:rsidP="00047003">
      <w:pPr>
        <w:spacing w:after="0" w:line="360" w:lineRule="auto"/>
        <w:ind w:right="-550"/>
        <w:rPr>
          <w:sz w:val="24"/>
          <w:szCs w:val="24"/>
        </w:rPr>
      </w:pPr>
      <w:r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b/>
          <w:bCs/>
          <w:sz w:val="24"/>
          <w:szCs w:val="24"/>
        </w:rPr>
        <w:t>.</w:t>
      </w:r>
      <w:r w:rsidRPr="00CB623E">
        <w:rPr>
          <w:rFonts w:ascii="Times New Roman" w:eastAsia="Times New Roman" w:hAnsi="Times New Roman" w:cs="Times New Roman"/>
          <w:b/>
          <w:bCs/>
          <w:sz w:val="24"/>
          <w:szCs w:val="24"/>
        </w:rPr>
        <w:t>6</w:t>
      </w:r>
      <w:r w:rsidR="00047003" w:rsidRPr="00CB623E">
        <w:rPr>
          <w:rFonts w:ascii="Times New Roman" w:eastAsia="Times New Roman" w:hAnsi="Times New Roman" w:cs="Times New Roman"/>
          <w:b/>
          <w:bCs/>
          <w:sz w:val="24"/>
          <w:szCs w:val="24"/>
        </w:rPr>
        <w:t>.</w:t>
      </w:r>
      <w:r w:rsidR="00256F01" w:rsidRPr="00CB623E">
        <w:rPr>
          <w:rFonts w:ascii="Times New Roman" w:eastAsia="Times New Roman" w:hAnsi="Times New Roman" w:cs="Times New Roman"/>
          <w:b/>
          <w:bCs/>
          <w:sz w:val="24"/>
          <w:szCs w:val="24"/>
        </w:rPr>
        <w:t>5</w:t>
      </w:r>
      <w:r w:rsidR="00047003" w:rsidRPr="00CB623E">
        <w:rPr>
          <w:rFonts w:ascii="Times New Roman" w:eastAsia="Times New Roman" w:hAnsi="Times New Roman" w:cs="Times New Roman"/>
          <w:sz w:val="24"/>
          <w:szCs w:val="24"/>
        </w:rPr>
        <w:t>. A exigência de garantia da proposta decorre d</w:t>
      </w:r>
      <w:r w:rsidRPr="00CB623E">
        <w:rPr>
          <w:rFonts w:ascii="Times New Roman" w:eastAsia="Times New Roman" w:hAnsi="Times New Roman" w:cs="Times New Roman"/>
          <w:sz w:val="24"/>
          <w:szCs w:val="24"/>
        </w:rPr>
        <w:t>o valor</w:t>
      </w:r>
      <w:r w:rsidR="00047003" w:rsidRPr="00CB623E">
        <w:rPr>
          <w:rFonts w:ascii="Times New Roman" w:eastAsia="Times New Roman" w:hAnsi="Times New Roman" w:cs="Times New Roman"/>
          <w:sz w:val="24"/>
          <w:szCs w:val="24"/>
        </w:rPr>
        <w:t xml:space="preserve"> da contratação, do fornecimento parcelado e contínuo de materia</w:t>
      </w:r>
      <w:r w:rsidRPr="00CB623E">
        <w:rPr>
          <w:rFonts w:ascii="Times New Roman" w:eastAsia="Times New Roman" w:hAnsi="Times New Roman" w:cs="Times New Roman"/>
          <w:sz w:val="24"/>
          <w:szCs w:val="24"/>
        </w:rPr>
        <w:t>l</w:t>
      </w:r>
      <w:r w:rsidR="00047003" w:rsidRPr="00CB623E">
        <w:rPr>
          <w:rFonts w:ascii="Times New Roman" w:eastAsia="Times New Roman" w:hAnsi="Times New Roman" w:cs="Times New Roman"/>
          <w:sz w:val="24"/>
          <w:szCs w:val="24"/>
        </w:rPr>
        <w:t xml:space="preserve"> estratégico </w:t>
      </w:r>
      <w:r w:rsidRPr="00CB623E">
        <w:rPr>
          <w:rFonts w:ascii="Times New Roman" w:eastAsia="Times New Roman" w:hAnsi="Times New Roman" w:cs="Times New Roman"/>
          <w:sz w:val="24"/>
          <w:szCs w:val="24"/>
        </w:rPr>
        <w:t xml:space="preserve">para </w:t>
      </w:r>
      <w:r w:rsidRPr="00CB623E">
        <w:rPr>
          <w:rFonts w:ascii="Times New Roman" w:eastAsia="Times New Roman" w:hAnsi="Times New Roman" w:cs="Times New Roman"/>
          <w:b/>
          <w:bCs/>
          <w:sz w:val="24"/>
          <w:szCs w:val="24"/>
          <w:u w:val="single"/>
        </w:rPr>
        <w:t>Secretaria Municipal de Educação</w:t>
      </w:r>
      <w:r w:rsidR="00DE1AFA" w:rsidRPr="00CB623E">
        <w:rPr>
          <w:rFonts w:ascii="Times New Roman" w:eastAsia="Times New Roman" w:hAnsi="Times New Roman" w:cs="Times New Roman"/>
          <w:b/>
          <w:bCs/>
          <w:sz w:val="24"/>
          <w:szCs w:val="24"/>
          <w:u w:val="single"/>
        </w:rPr>
        <w:t xml:space="preserve"> e a </w:t>
      </w:r>
      <w:r w:rsidR="00DE1AFA" w:rsidRPr="00CB623E">
        <w:rPr>
          <w:rFonts w:ascii="Times New Roman" w:hAnsi="Times New Roman" w:cs="Times New Roman"/>
          <w:b/>
          <w:bCs/>
          <w:sz w:val="24"/>
          <w:szCs w:val="24"/>
          <w:u w:val="single"/>
          <w:lang w:eastAsia="en-US"/>
        </w:rPr>
        <w:t>Secretaria Municipal de Assistência Social e Direitos Humanos</w:t>
      </w:r>
      <w:r w:rsidR="00047003" w:rsidRPr="00CB623E">
        <w:rPr>
          <w:rFonts w:ascii="Times New Roman" w:eastAsia="Times New Roman" w:hAnsi="Times New Roman" w:cs="Times New Roman"/>
          <w:sz w:val="24"/>
          <w:szCs w:val="24"/>
        </w:rPr>
        <w:t xml:space="preserve">, da volatilidade do mercado de </w:t>
      </w:r>
      <w:r w:rsidR="007079C0" w:rsidRPr="00CB623E">
        <w:rPr>
          <w:rFonts w:ascii="Times New Roman" w:eastAsia="Times New Roman" w:hAnsi="Times New Roman" w:cs="Times New Roman"/>
          <w:sz w:val="24"/>
          <w:szCs w:val="24"/>
        </w:rPr>
        <w:t>Gás GLP</w:t>
      </w:r>
      <w:r w:rsidR="00047003" w:rsidRPr="00CB623E">
        <w:rPr>
          <w:rFonts w:ascii="Times New Roman" w:eastAsia="Times New Roman" w:hAnsi="Times New Roman" w:cs="Times New Roman"/>
          <w:sz w:val="24"/>
          <w:szCs w:val="24"/>
        </w:rPr>
        <w:t>, bem como da necessidade de mitigar riscos de desistência injustificada, recusa na assinatura da Ata de Registro de Preços ou instrumento contratual, abandono de proposta, atraso no abastecimento e prejuízo à continuidade dos serviços essenciais.</w:t>
      </w:r>
    </w:p>
    <w:p w14:paraId="2F982136" w14:textId="105A387C" w:rsidR="000011CD" w:rsidRPr="00CB623E" w:rsidRDefault="004E7F97" w:rsidP="007079C0">
      <w:pPr>
        <w:tabs>
          <w:tab w:val="left" w:pos="0"/>
        </w:tabs>
        <w:spacing w:after="0" w:line="360" w:lineRule="auto"/>
        <w:contextualSpacing/>
        <w:rPr>
          <w:rFonts w:ascii="Times New Roman" w:hAnsi="Times New Roman" w:cs="Times New Roman"/>
          <w:b/>
          <w:sz w:val="24"/>
          <w:szCs w:val="24"/>
          <w:lang w:eastAsia="en-US"/>
        </w:rPr>
      </w:pPr>
      <w:r w:rsidRPr="00CB623E">
        <w:rPr>
          <w:rFonts w:ascii="Times New Roman" w:eastAsia="Times New Roman" w:hAnsi="Times New Roman" w:cs="Times New Roman"/>
          <w:b/>
          <w:bCs/>
          <w:sz w:val="24"/>
          <w:szCs w:val="24"/>
        </w:rPr>
        <w:t>4</w:t>
      </w:r>
      <w:r w:rsidR="00047003" w:rsidRPr="00CB623E">
        <w:rPr>
          <w:rFonts w:ascii="Times New Roman" w:eastAsia="Times New Roman" w:hAnsi="Times New Roman" w:cs="Times New Roman"/>
          <w:b/>
          <w:bCs/>
          <w:sz w:val="24"/>
          <w:szCs w:val="24"/>
        </w:rPr>
        <w:t>.</w:t>
      </w:r>
      <w:r w:rsidRPr="00CB623E">
        <w:rPr>
          <w:rFonts w:ascii="Times New Roman" w:eastAsia="Times New Roman" w:hAnsi="Times New Roman" w:cs="Times New Roman"/>
          <w:b/>
          <w:bCs/>
          <w:sz w:val="24"/>
          <w:szCs w:val="24"/>
        </w:rPr>
        <w:t>6</w:t>
      </w:r>
      <w:r w:rsidR="00047003" w:rsidRPr="00CB623E">
        <w:rPr>
          <w:rFonts w:ascii="Times New Roman" w:eastAsia="Times New Roman" w:hAnsi="Times New Roman" w:cs="Times New Roman"/>
          <w:b/>
          <w:bCs/>
          <w:sz w:val="24"/>
          <w:szCs w:val="24"/>
        </w:rPr>
        <w:t>.</w:t>
      </w:r>
      <w:r w:rsidR="00E17A2D" w:rsidRPr="00CB623E">
        <w:rPr>
          <w:rFonts w:ascii="Times New Roman" w:eastAsia="Times New Roman" w:hAnsi="Times New Roman" w:cs="Times New Roman"/>
          <w:b/>
          <w:bCs/>
          <w:sz w:val="24"/>
          <w:szCs w:val="24"/>
        </w:rPr>
        <w:t>6</w:t>
      </w:r>
      <w:r w:rsidR="00047003" w:rsidRPr="00CB623E">
        <w:rPr>
          <w:rFonts w:ascii="Times New Roman" w:eastAsia="Times New Roman" w:hAnsi="Times New Roman" w:cs="Times New Roman"/>
          <w:sz w:val="24"/>
          <w:szCs w:val="24"/>
        </w:rPr>
        <w:t>. A garantia da proposta possui finalidade exclusivamente assecuratória e preventiva, não se destinando a restringir a competitividade ou gerar arrecadação para a Administração, tendo sido fixada no percentual de 1% (um por cento), em observância aos princípios da proporcionalidade, razoabilidade, eficiência, planejamento, competitividade e proteção do interesse público</w:t>
      </w:r>
      <w:r w:rsidR="000011CD" w:rsidRPr="00CB623E">
        <w:rPr>
          <w:rFonts w:ascii="Times New Roman" w:hAnsi="Times New Roman" w:cs="Times New Roman"/>
          <w:color w:val="000000"/>
          <w:sz w:val="24"/>
          <w:szCs w:val="24"/>
          <w:lang w:eastAsia="en-US"/>
        </w:rPr>
        <w:t>;</w:t>
      </w:r>
    </w:p>
    <w:p w14:paraId="69458C4D" w14:textId="77777777" w:rsidR="009A7B17" w:rsidRPr="00CB623E" w:rsidRDefault="009A7B17" w:rsidP="00C45F07">
      <w:pPr>
        <w:tabs>
          <w:tab w:val="left" w:pos="0"/>
        </w:tabs>
        <w:spacing w:after="0" w:line="240" w:lineRule="auto"/>
        <w:contextualSpacing/>
        <w:rPr>
          <w:rFonts w:ascii="Times New Roman" w:hAnsi="Times New Roman" w:cs="Times New Roman"/>
          <w:b/>
          <w:sz w:val="16"/>
          <w:szCs w:val="16"/>
          <w:lang w:eastAsia="en-US"/>
        </w:rPr>
      </w:pPr>
    </w:p>
    <w:p w14:paraId="7A3EE802" w14:textId="77777777" w:rsidR="000011CD" w:rsidRPr="00CB623E" w:rsidRDefault="000011CD" w:rsidP="00222AEA">
      <w:pPr>
        <w:numPr>
          <w:ilvl w:val="0"/>
          <w:numId w:val="48"/>
        </w:numPr>
        <w:tabs>
          <w:tab w:val="left" w:pos="0"/>
          <w:tab w:val="left" w:pos="420"/>
        </w:tabs>
        <w:spacing w:after="0" w:line="360" w:lineRule="auto"/>
        <w:contextualSpacing/>
        <w:rPr>
          <w:rFonts w:ascii="Times New Roman" w:hAnsi="Times New Roman" w:cs="Times New Roman"/>
          <w:b/>
          <w:sz w:val="24"/>
          <w:szCs w:val="24"/>
          <w:lang w:eastAsia="en-US"/>
        </w:rPr>
      </w:pPr>
      <w:r w:rsidRPr="00CB623E">
        <w:rPr>
          <w:rFonts w:ascii="Times New Roman" w:hAnsi="Times New Roman" w:cs="Times New Roman"/>
          <w:b/>
          <w:sz w:val="24"/>
          <w:szCs w:val="24"/>
          <w:lang w:eastAsia="en-US"/>
        </w:rPr>
        <w:t>MODELO DE EXECUÇÃO DO OBJETO</w:t>
      </w:r>
    </w:p>
    <w:p w14:paraId="5A579B4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início da prestação do(s) serviço(s) deverá(ão) ser realizado no prazo máximo de 10 (dez) dias, a contar da assinatura do Contrato;</w:t>
      </w:r>
    </w:p>
    <w:p w14:paraId="6DED952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Caso não seja possível o início na data assinalada, a empresa deverá comunicar as razões respectivas com pelo menos 02 (dois) dias de antecedência para que qualquer pleito de prorrogação de prazo seja analisado, ressalvadas situações de caso fortuito e força maior;</w:t>
      </w:r>
    </w:p>
    <w:p w14:paraId="4E7F5A7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execução do objeto seguirá a seguinte dinâmica:</w:t>
      </w:r>
    </w:p>
    <w:p w14:paraId="06BDB5A3"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Solicitação e Definição da Demanda</w:t>
      </w:r>
    </w:p>
    <w:p w14:paraId="36EDE91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Administração Pública, por meio do setor requisitante, formalizará a solicitação dos serviços à empresa contratada, especificando:</w:t>
      </w:r>
    </w:p>
    <w:p w14:paraId="1CD93F4F"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Concluída a instalação/entrega:</w:t>
      </w:r>
    </w:p>
    <w:p w14:paraId="555E7916"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equipe responsável pela fiscalização do contrato realizará a inspeção dos serviços executados, com base nos critérios técnicos estabelecidos;</w:t>
      </w:r>
    </w:p>
    <w:p w14:paraId="24583475" w14:textId="684D4B26"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Serão </w:t>
      </w:r>
      <w:r w:rsidR="003A7BB7" w:rsidRPr="00CB623E">
        <w:rPr>
          <w:rFonts w:ascii="Times New Roman" w:eastAsia="Arial" w:hAnsi="Times New Roman" w:cs="Times New Roman"/>
          <w:sz w:val="24"/>
          <w:szCs w:val="24"/>
          <w:lang w:eastAsia="en-US"/>
        </w:rPr>
        <w:t>verificadas</w:t>
      </w:r>
      <w:r w:rsidRPr="00CB623E">
        <w:rPr>
          <w:rFonts w:ascii="Times New Roman" w:eastAsia="Arial" w:hAnsi="Times New Roman" w:cs="Times New Roman"/>
          <w:sz w:val="24"/>
          <w:szCs w:val="24"/>
          <w:lang w:eastAsia="en-US"/>
        </w:rPr>
        <w:t xml:space="preserve"> o alinhamento, fixação, qualidade dos materiais</w:t>
      </w:r>
      <w:r w:rsidR="00DD7854" w:rsidRPr="00CB623E">
        <w:rPr>
          <w:rFonts w:ascii="Times New Roman" w:eastAsia="Arial" w:hAnsi="Times New Roman" w:cs="Times New Roman"/>
          <w:sz w:val="24"/>
          <w:szCs w:val="24"/>
          <w:lang w:eastAsia="en-US"/>
        </w:rPr>
        <w:t>;</w:t>
      </w:r>
    </w:p>
    <w:p w14:paraId="66E142D2"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Irregularidades ou inconformidades deverão ser corrigidas pela empresa em até 5 dias úteis, sem ônus adicional para a Administração.</w:t>
      </w:r>
    </w:p>
    <w:p w14:paraId="6ACD55B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início da execução do(s) serviço(s) dar-se-á nas dependências da CONTRATANTE conforme cronograma a ser tratado entre as partes;</w:t>
      </w:r>
    </w:p>
    <w:p w14:paraId="625E4F1B" w14:textId="77777777" w:rsidR="000011CD" w:rsidRPr="00CB623E" w:rsidRDefault="000011CD" w:rsidP="00C45F07">
      <w:pPr>
        <w:tabs>
          <w:tab w:val="left" w:pos="0"/>
        </w:tabs>
        <w:spacing w:after="0" w:line="240" w:lineRule="auto"/>
        <w:contextualSpacing/>
        <w:rPr>
          <w:rFonts w:ascii="Times New Roman" w:eastAsia="Arial" w:hAnsi="Times New Roman" w:cs="Times New Roman"/>
          <w:sz w:val="16"/>
          <w:szCs w:val="16"/>
          <w:lang w:eastAsia="en-US"/>
        </w:rPr>
      </w:pPr>
    </w:p>
    <w:p w14:paraId="570DA1F0" w14:textId="7374D0CA" w:rsidR="000011CD" w:rsidRPr="00CB623E" w:rsidRDefault="000011CD" w:rsidP="00C45F07">
      <w:pPr>
        <w:pStyle w:val="PargrafodaLista"/>
        <w:numPr>
          <w:ilvl w:val="1"/>
          <w:numId w:val="48"/>
        </w:numPr>
        <w:tabs>
          <w:tab w:val="left" w:pos="0"/>
        </w:tabs>
        <w:spacing w:after="0" w:line="360" w:lineRule="auto"/>
        <w:ind w:left="851" w:hanging="851"/>
        <w:rPr>
          <w:rFonts w:ascii="Times New Roman" w:hAnsi="Times New Roman" w:cs="Times New Roman"/>
          <w:b/>
          <w:sz w:val="24"/>
          <w:szCs w:val="24"/>
          <w:lang w:eastAsia="en-US"/>
        </w:rPr>
      </w:pPr>
      <w:r w:rsidRPr="00CB623E">
        <w:rPr>
          <w:rFonts w:ascii="Times New Roman" w:hAnsi="Times New Roman" w:cs="Times New Roman"/>
          <w:b/>
          <w:sz w:val="24"/>
          <w:szCs w:val="24"/>
          <w:lang w:eastAsia="en-US"/>
        </w:rPr>
        <w:t>Materiais a serem disponibilizados</w:t>
      </w:r>
    </w:p>
    <w:p w14:paraId="410A59F1" w14:textId="77777777" w:rsidR="000011CD" w:rsidRPr="00CB623E" w:rsidRDefault="000011CD" w:rsidP="00C45F07">
      <w:pPr>
        <w:tabs>
          <w:tab w:val="left" w:pos="0"/>
        </w:tabs>
        <w:spacing w:after="0" w:line="360" w:lineRule="auto"/>
        <w:contextualSpacing/>
        <w:rPr>
          <w:rFonts w:ascii="Times New Roman" w:hAnsi="Times New Roman" w:cs="Times New Roman"/>
          <w:b/>
          <w:sz w:val="24"/>
          <w:szCs w:val="24"/>
          <w:lang w:eastAsia="en-US"/>
        </w:rPr>
      </w:pPr>
      <w:r w:rsidRPr="00CB623E">
        <w:rPr>
          <w:rFonts w:ascii="Times New Roman" w:hAnsi="Times New Roman" w:cs="Times New Roman"/>
          <w:sz w:val="24"/>
          <w:szCs w:val="24"/>
          <w:lang w:eastAsia="en-US"/>
        </w:rPr>
        <w:t>Para a perfeita execução dos serviços, a Contratada deverá disponibilizar os materiais, equipamentos, ferramentas e utensílios necessários, nas quantidades estimadas e qualidades estabelecidas, promovendo sua substituição quando necessário</w:t>
      </w:r>
      <w:r w:rsidRPr="00CB623E">
        <w:rPr>
          <w:rFonts w:ascii="Times New Roman" w:eastAsia="Arial" w:hAnsi="Times New Roman" w:cs="Times New Roman"/>
          <w:sz w:val="24"/>
          <w:szCs w:val="24"/>
          <w:lang w:eastAsia="en-US"/>
        </w:rPr>
        <w:t>;</w:t>
      </w:r>
    </w:p>
    <w:p w14:paraId="45293FA7" w14:textId="03CA1C8F" w:rsidR="000011CD" w:rsidRPr="00CB623E" w:rsidRDefault="000011CD" w:rsidP="00C45F07">
      <w:pPr>
        <w:pStyle w:val="PargrafodaLista"/>
        <w:numPr>
          <w:ilvl w:val="1"/>
          <w:numId w:val="48"/>
        </w:numPr>
        <w:tabs>
          <w:tab w:val="left" w:pos="0"/>
        </w:tabs>
        <w:spacing w:after="0" w:line="360" w:lineRule="auto"/>
        <w:ind w:left="851" w:hanging="851"/>
        <w:rPr>
          <w:rFonts w:ascii="Times New Roman" w:hAnsi="Times New Roman" w:cs="Times New Roman"/>
          <w:b/>
          <w:sz w:val="24"/>
          <w:szCs w:val="24"/>
          <w:lang w:eastAsia="en-US"/>
        </w:rPr>
      </w:pPr>
      <w:r w:rsidRPr="00CB623E">
        <w:rPr>
          <w:rFonts w:ascii="Times New Roman" w:hAnsi="Times New Roman" w:cs="Times New Roman"/>
          <w:b/>
          <w:sz w:val="24"/>
          <w:szCs w:val="24"/>
          <w:lang w:eastAsia="en-US"/>
        </w:rPr>
        <w:t>Garantia, manutenção e assistência técnica</w:t>
      </w:r>
    </w:p>
    <w:p w14:paraId="5A7BBFFC" w14:textId="77777777" w:rsidR="000011CD" w:rsidRPr="00CB623E" w:rsidRDefault="000011CD" w:rsidP="00C45F07">
      <w:pPr>
        <w:tabs>
          <w:tab w:val="left" w:pos="0"/>
        </w:tabs>
        <w:spacing w:after="0" w:line="360" w:lineRule="auto"/>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prazo de garantia é aquele estabelecido na Lei nº 8.078, de 11 de setembro de 1990 (Código de Defesa do Consumidor);</w:t>
      </w:r>
    </w:p>
    <w:p w14:paraId="588109F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garantia será prestada com vistas a assegurar as perfeitas condições dos serviços prestados, sem qualquer ônus ou custo adicional para o contratante;</w:t>
      </w:r>
    </w:p>
    <w:p w14:paraId="40A9C103" w14:textId="77777777" w:rsidR="000011CD" w:rsidRPr="00CB623E" w:rsidRDefault="000011CD" w:rsidP="00C45F07">
      <w:pPr>
        <w:tabs>
          <w:tab w:val="left" w:pos="0"/>
          <w:tab w:val="left" w:pos="420"/>
        </w:tabs>
        <w:spacing w:after="0" w:line="240" w:lineRule="auto"/>
        <w:contextualSpacing/>
        <w:rPr>
          <w:rFonts w:ascii="Times New Roman" w:eastAsia="Arial" w:hAnsi="Times New Roman" w:cs="Times New Roman"/>
          <w:sz w:val="16"/>
          <w:szCs w:val="16"/>
          <w:lang w:eastAsia="en-US"/>
        </w:rPr>
      </w:pPr>
    </w:p>
    <w:p w14:paraId="4B5E613D" w14:textId="77777777" w:rsidR="000011CD" w:rsidRPr="00CB623E" w:rsidRDefault="000011CD" w:rsidP="00047003">
      <w:pPr>
        <w:numPr>
          <w:ilvl w:val="0"/>
          <w:numId w:val="48"/>
        </w:numPr>
        <w:tabs>
          <w:tab w:val="left" w:pos="0"/>
        </w:tabs>
        <w:spacing w:after="0" w:line="360" w:lineRule="auto"/>
        <w:ind w:left="0" w:firstLine="0"/>
        <w:contextualSpacing/>
        <w:rPr>
          <w:rFonts w:ascii="Times New Roman" w:eastAsia="Arial" w:hAnsi="Times New Roman" w:cs="Times New Roman"/>
          <w:b/>
          <w:sz w:val="24"/>
          <w:szCs w:val="24"/>
          <w:u w:val="single"/>
          <w:lang w:eastAsia="en-US"/>
        </w:rPr>
      </w:pPr>
      <w:r w:rsidRPr="00CB623E">
        <w:rPr>
          <w:rFonts w:ascii="Times New Roman" w:eastAsia="Arial" w:hAnsi="Times New Roman" w:cs="Times New Roman"/>
          <w:b/>
          <w:sz w:val="24"/>
          <w:szCs w:val="24"/>
          <w:u w:val="single"/>
          <w:lang w:eastAsia="en-US"/>
        </w:rPr>
        <w:t>MODELO DE GESTÃO DO CONTRATO</w:t>
      </w:r>
    </w:p>
    <w:p w14:paraId="7EC5302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 contrato deverá ser executado fielmente pelas partes, de acordo com as cláusulas avençadas e as normas da Lei nº 14.133/2021, bem como do Decreto Municipal nº 3635/2023, e cada parte responderá pelas consequências de sua inexecução total ou parcial</w:t>
      </w:r>
      <w:r w:rsidRPr="00CB623E">
        <w:rPr>
          <w:rFonts w:ascii="Times New Roman" w:eastAsia="Arial" w:hAnsi="Times New Roman" w:cs="Times New Roman"/>
          <w:sz w:val="24"/>
          <w:szCs w:val="24"/>
          <w:lang w:eastAsia="en-US"/>
        </w:rPr>
        <w:t>;</w:t>
      </w:r>
    </w:p>
    <w:p w14:paraId="6DD4736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Em caso de impedimento, ordem de paralisação ou suspensão do contrato, o cronograma de execução será prorrogado automaticamente pelo tempo correspondente, anotadas tais circunstâncias mediante simples apostila</w:t>
      </w:r>
      <w:r w:rsidRPr="00CB623E">
        <w:rPr>
          <w:rFonts w:ascii="Times New Roman" w:eastAsia="Arial" w:hAnsi="Times New Roman" w:cs="Times New Roman"/>
          <w:sz w:val="24"/>
          <w:szCs w:val="24"/>
          <w:lang w:eastAsia="en-US"/>
        </w:rPr>
        <w:t>;</w:t>
      </w:r>
    </w:p>
    <w:p w14:paraId="0A5CE5CE"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 xml:space="preserve">As comunicações entre </w:t>
      </w:r>
      <w:bookmarkStart w:id="0" w:name="_Hlk145588735"/>
      <w:r w:rsidRPr="00CB623E">
        <w:rPr>
          <w:rFonts w:ascii="Times New Roman" w:hAnsi="Times New Roman" w:cs="Times New Roman"/>
          <w:sz w:val="24"/>
          <w:szCs w:val="24"/>
          <w:lang w:eastAsia="en-US"/>
        </w:rPr>
        <w:t xml:space="preserve">o contratante </w:t>
      </w:r>
      <w:bookmarkEnd w:id="0"/>
      <w:r w:rsidRPr="00CB623E">
        <w:rPr>
          <w:rFonts w:ascii="Times New Roman" w:hAnsi="Times New Roman" w:cs="Times New Roman"/>
          <w:sz w:val="24"/>
          <w:szCs w:val="24"/>
          <w:lang w:eastAsia="en-US"/>
        </w:rPr>
        <w:t>e a contratada devem ser realizadas por escrito sempre que o ato exigir tal formalidade, admitindo-se o uso de mensagem eletrônica para esse fim</w:t>
      </w:r>
      <w:r w:rsidRPr="00CB623E">
        <w:rPr>
          <w:rFonts w:ascii="Times New Roman" w:eastAsia="Arial" w:hAnsi="Times New Roman" w:cs="Times New Roman"/>
          <w:sz w:val="24"/>
          <w:szCs w:val="24"/>
          <w:lang w:eastAsia="en-US"/>
        </w:rPr>
        <w:t>;</w:t>
      </w:r>
    </w:p>
    <w:p w14:paraId="28E8D52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 contratante poderá convocar representante da empresa para adoção de providências que devam ser cumpridas de imediato</w:t>
      </w:r>
      <w:r w:rsidRPr="00CB623E">
        <w:rPr>
          <w:rFonts w:ascii="Times New Roman" w:eastAsia="Arial" w:hAnsi="Times New Roman" w:cs="Times New Roman"/>
          <w:sz w:val="24"/>
          <w:szCs w:val="24"/>
          <w:lang w:eastAsia="en-US"/>
        </w:rPr>
        <w:t>;</w:t>
      </w:r>
    </w:p>
    <w:p w14:paraId="0745C6F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 xml:space="preserve">Após a assinatura do contrato ou instrumento equivalente, o contratante </w:t>
      </w:r>
      <w:r w:rsidRPr="00CB623E">
        <w:rPr>
          <w:rFonts w:ascii="Times New Roman" w:hAnsi="Times New Roman" w:cs="Times New Roman"/>
          <w:sz w:val="24"/>
          <w:szCs w:val="24"/>
          <w:u w:val="single"/>
          <w:lang w:eastAsia="en-US"/>
        </w:rPr>
        <w:t>poderá</w:t>
      </w:r>
      <w:r w:rsidRPr="00CB623E">
        <w:rPr>
          <w:rFonts w:ascii="Times New Roman" w:hAnsi="Times New Roman" w:cs="Times New Roman"/>
          <w:sz w:val="24"/>
          <w:szCs w:val="24"/>
          <w:lang w:eastAsia="en-US"/>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Pr="00CB623E">
        <w:rPr>
          <w:rFonts w:ascii="Times New Roman" w:eastAsia="Arial" w:hAnsi="Times New Roman" w:cs="Times New Roman"/>
          <w:sz w:val="24"/>
          <w:szCs w:val="24"/>
          <w:lang w:eastAsia="en-US"/>
        </w:rPr>
        <w:t>;</w:t>
      </w:r>
    </w:p>
    <w:p w14:paraId="47321C6C" w14:textId="72B75E5B" w:rsidR="000011CD" w:rsidRPr="00CB623E" w:rsidRDefault="000011CD" w:rsidP="00222AEA">
      <w:pPr>
        <w:pStyle w:val="PargrafodaLista"/>
        <w:numPr>
          <w:ilvl w:val="1"/>
          <w:numId w:val="48"/>
        </w:numPr>
        <w:tabs>
          <w:tab w:val="left" w:pos="0"/>
        </w:tabs>
        <w:spacing w:after="0" w:line="360" w:lineRule="auto"/>
        <w:ind w:left="0" w:firstLine="0"/>
        <w:rPr>
          <w:rFonts w:ascii="Times New Roman" w:eastAsia="Arial" w:hAnsi="Times New Roman" w:cs="Times New Roman"/>
          <w:b/>
          <w:sz w:val="24"/>
          <w:szCs w:val="24"/>
          <w:u w:val="single"/>
          <w:lang w:eastAsia="en-US"/>
        </w:rPr>
      </w:pPr>
      <w:r w:rsidRPr="00CB623E">
        <w:rPr>
          <w:rFonts w:ascii="Times New Roman" w:eastAsia="Arial" w:hAnsi="Times New Roman" w:cs="Times New Roman"/>
          <w:b/>
          <w:sz w:val="24"/>
          <w:szCs w:val="24"/>
          <w:u w:val="single"/>
          <w:lang w:eastAsia="en-US"/>
        </w:rPr>
        <w:t>Fiscalização</w:t>
      </w:r>
    </w:p>
    <w:p w14:paraId="68792CD4" w14:textId="4F52C12A" w:rsidR="000011CD" w:rsidRPr="00CB623E" w:rsidRDefault="000011CD" w:rsidP="00222AEA">
      <w:pPr>
        <w:tabs>
          <w:tab w:val="left" w:pos="0"/>
        </w:tabs>
        <w:spacing w:after="0" w:line="360" w:lineRule="auto"/>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A execução do contrato deverá ser acompanhada pelo gestor e pelo(s) fiscal(is) do contrato, ou pelos respectivos substitutos, conforme art. 117, caput da Lei nº 14.133, de 2021, </w:t>
      </w:r>
      <w:r w:rsidRPr="00CB623E">
        <w:rPr>
          <w:rFonts w:ascii="Times New Roman" w:hAnsi="Times New Roman" w:cs="Times New Roman"/>
          <w:sz w:val="24"/>
          <w:szCs w:val="24"/>
          <w:lang w:eastAsia="en-US"/>
        </w:rPr>
        <w:t xml:space="preserve">especialmente </w:t>
      </w:r>
      <w:r w:rsidRPr="00CB623E">
        <w:rPr>
          <w:rFonts w:ascii="Times New Roman" w:hAnsi="Times New Roman" w:cs="Times New Roman"/>
          <w:sz w:val="24"/>
          <w:szCs w:val="24"/>
          <w:lang w:eastAsia="en-US"/>
        </w:rPr>
        <w:lastRenderedPageBreak/>
        <w:t>designados pelo ordenador de despesa da Secretaria Municipal de Educação</w:t>
      </w:r>
      <w:r w:rsidR="00D37E76" w:rsidRPr="00CB623E">
        <w:rPr>
          <w:rFonts w:ascii="Times New Roman" w:hAnsi="Times New Roman" w:cs="Times New Roman"/>
          <w:sz w:val="24"/>
          <w:szCs w:val="24"/>
          <w:lang w:eastAsia="en-US"/>
        </w:rPr>
        <w:t xml:space="preserve"> e Secretaria Municipal de Assistência Social e Direitos Humanos</w:t>
      </w:r>
      <w:r w:rsidRPr="00CB623E">
        <w:rPr>
          <w:rFonts w:ascii="Times New Roman" w:eastAsia="Arial" w:hAnsi="Times New Roman" w:cs="Times New Roman"/>
          <w:sz w:val="24"/>
          <w:szCs w:val="24"/>
          <w:lang w:eastAsia="en-US"/>
        </w:rPr>
        <w:t>;</w:t>
      </w:r>
    </w:p>
    <w:p w14:paraId="0BB9B9CE"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 decisões que ultrapassam a competência do(s) fiscal(is) deverão ser solicitadas formalmente pela CONTRATADA à autoridade administrativa imediatamente superior ao fiscal, através dele, em tempo hábil para a adoção de medidas convenientes;</w:t>
      </w:r>
    </w:p>
    <w:p w14:paraId="6F19BFD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9E0A6AB"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4A66BDC5" w14:textId="02226491" w:rsidR="000011CD" w:rsidRPr="00CB623E" w:rsidRDefault="000011CD" w:rsidP="00222AEA">
      <w:pPr>
        <w:pStyle w:val="PargrafodaLista"/>
        <w:numPr>
          <w:ilvl w:val="1"/>
          <w:numId w:val="48"/>
        </w:numPr>
        <w:tabs>
          <w:tab w:val="left" w:pos="0"/>
        </w:tabs>
        <w:spacing w:after="0" w:line="360" w:lineRule="auto"/>
        <w:ind w:left="0" w:firstLine="0"/>
        <w:rPr>
          <w:rFonts w:ascii="Times New Roman" w:eastAsia="Arial" w:hAnsi="Times New Roman" w:cs="Times New Roman"/>
          <w:sz w:val="24"/>
          <w:szCs w:val="24"/>
          <w:u w:val="single"/>
          <w:lang w:eastAsia="en-US"/>
        </w:rPr>
      </w:pPr>
      <w:r w:rsidRPr="00CB623E">
        <w:rPr>
          <w:rFonts w:ascii="Times New Roman" w:hAnsi="Times New Roman" w:cs="Times New Roman"/>
          <w:b/>
          <w:sz w:val="24"/>
          <w:szCs w:val="24"/>
          <w:u w:val="single"/>
          <w:lang w:eastAsia="en-US"/>
        </w:rPr>
        <w:t>Fiscalização Técnica</w:t>
      </w:r>
    </w:p>
    <w:p w14:paraId="628B0BA0" w14:textId="77777777" w:rsidR="000011CD" w:rsidRPr="00CB623E" w:rsidRDefault="000011CD" w:rsidP="00222AEA">
      <w:pPr>
        <w:tabs>
          <w:tab w:val="left" w:pos="0"/>
        </w:tabs>
        <w:spacing w:after="0" w:line="360" w:lineRule="auto"/>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fiscalização técnica do contrato deve ser atribuída a servidor com experiência e conhecimento na área relativa ao objeto contratado, designado para auxiliar o gestor do contrato quanto à fiscalização dos aspectos técnicos do contrato;</w:t>
      </w:r>
    </w:p>
    <w:p w14:paraId="0B49E9E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O fiscal técnico do contrato acompanhará a execução do contrato, </w:t>
      </w:r>
      <w:r w:rsidRPr="00CB623E">
        <w:rPr>
          <w:rFonts w:ascii="Times New Roman" w:hAnsi="Times New Roman" w:cs="Times New Roman"/>
          <w:color w:val="000000"/>
          <w:sz w:val="24"/>
          <w:szCs w:val="24"/>
          <w:lang w:eastAsia="en-US"/>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Pr="00CB623E">
        <w:rPr>
          <w:rFonts w:ascii="Times New Roman" w:eastAsia="Arial" w:hAnsi="Times New Roman" w:cs="Times New Roman"/>
          <w:sz w:val="24"/>
          <w:szCs w:val="24"/>
          <w:lang w:eastAsia="en-US"/>
        </w:rPr>
        <w:t>;</w:t>
      </w:r>
    </w:p>
    <w:p w14:paraId="2D9EB7D4"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fiscal técnico do contrato anotará no histórico de gerenciamento do contrato todas as ocorrências relacionadas à execução do contrato, com a descrição do que for necessário para a regularização das faltas ou dos defeitos observados;</w:t>
      </w:r>
    </w:p>
    <w:p w14:paraId="3CFF1E5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Identificada qualquer inexatidão ou irregularidade, o fiscal técnico do contrato emitirá notificações para a correção da execução do contrato, determinando prazo para a correção; </w:t>
      </w:r>
    </w:p>
    <w:p w14:paraId="223C3079"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 fiscal do contrato tem o dever de confrontar os preços e quantidades constantes da nota fiscal com os estabelecidos no contrato;</w:t>
      </w:r>
    </w:p>
    <w:p w14:paraId="7A1C5A4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fiscal técnico do contrato informará ao gestor do contato, em tempo hábil, a situação que demandar decisão ou adoção de medidas que ultrapassem sua competência, para que adote as medidas necessárias e saneadoras, se for o caso;</w:t>
      </w:r>
    </w:p>
    <w:p w14:paraId="2CBFA10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No caso de ocorrências que possam inviabilizar a execução do contrato nas datas aprazadas, o fiscal técnico do contrato comunicará o fato imediatamente ao gestor do contrato;</w:t>
      </w:r>
    </w:p>
    <w:p w14:paraId="4E9201A1" w14:textId="6242AA66" w:rsidR="000011CD" w:rsidRPr="00CB623E" w:rsidRDefault="000011CD" w:rsidP="00222AEA">
      <w:pPr>
        <w:pStyle w:val="PargrafodaLista"/>
        <w:numPr>
          <w:ilvl w:val="1"/>
          <w:numId w:val="48"/>
        </w:numPr>
        <w:tabs>
          <w:tab w:val="left" w:pos="0"/>
        </w:tabs>
        <w:spacing w:after="0" w:line="360" w:lineRule="auto"/>
        <w:ind w:left="0" w:hanging="7"/>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Fiscalização administrativa</w:t>
      </w:r>
    </w:p>
    <w:p w14:paraId="52556723" w14:textId="77777777" w:rsidR="000011CD" w:rsidRPr="00CB623E" w:rsidRDefault="000011CD" w:rsidP="00222AEA">
      <w:pPr>
        <w:tabs>
          <w:tab w:val="left" w:pos="0"/>
        </w:tabs>
        <w:spacing w:after="0" w:line="360" w:lineRule="auto"/>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16287E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C0468C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fiscal administrativo do contrato comunicará ao gestor do contrato, em tempo hábil, o término do contrato sob sua responsabilidade, com vistas à tempestiva renovação ou prorrogação contratual;</w:t>
      </w:r>
    </w:p>
    <w:p w14:paraId="4033AB06" w14:textId="10639969" w:rsidR="000011CD" w:rsidRPr="00CB623E" w:rsidRDefault="000011CD" w:rsidP="00A34AA1">
      <w:pPr>
        <w:pStyle w:val="PargrafodaLista"/>
        <w:numPr>
          <w:ilvl w:val="1"/>
          <w:numId w:val="48"/>
        </w:numPr>
        <w:tabs>
          <w:tab w:val="left" w:pos="0"/>
        </w:tabs>
        <w:spacing w:after="0" w:line="360" w:lineRule="auto"/>
        <w:ind w:left="0" w:hanging="7"/>
        <w:rPr>
          <w:rFonts w:ascii="Times New Roman" w:hAnsi="Times New Roman" w:cs="Times New Roman"/>
          <w:b/>
          <w:sz w:val="24"/>
          <w:szCs w:val="24"/>
          <w:lang w:eastAsia="en-US"/>
        </w:rPr>
      </w:pPr>
      <w:r w:rsidRPr="00CB623E">
        <w:rPr>
          <w:rFonts w:ascii="Times New Roman" w:hAnsi="Times New Roman" w:cs="Times New Roman"/>
          <w:b/>
          <w:sz w:val="24"/>
          <w:szCs w:val="24"/>
          <w:lang w:eastAsia="en-US"/>
        </w:rPr>
        <w:t>Gestor do Contrato</w:t>
      </w:r>
    </w:p>
    <w:p w14:paraId="1934E923" w14:textId="77777777" w:rsidR="000011CD" w:rsidRPr="00CB623E" w:rsidRDefault="000011CD" w:rsidP="00A34AA1">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e fiscal(is) do contrato acompanhará a execução do contrato, para que sejam cumpridas todas as condições estabelecidas no contrato, de modo a assegurar os melhores resultados para a Administração, conforme o disposto no art. 18 e 20 do Decreto Municipal nº 3635/2023;</w:t>
      </w:r>
    </w:p>
    <w:p w14:paraId="1DE0A30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tem como função administrar o contrato até o término de sua vigência, desempenhando as atribuições administrativas que são inerentes ao controle individualizado de cada contrato;</w:t>
      </w:r>
    </w:p>
    <w:p w14:paraId="4DDB300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6CCECA1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42AF79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F69612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8C0F45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6A0836"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7CA0DAE"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gestor do contrato deverá elaborará relatório final com informações sobre a consecução dos objetivos que tenham justificado a contratação e eventuais condutas a serem adotadas para o aprimoramento das atividades da Administração;</w:t>
      </w:r>
    </w:p>
    <w:p w14:paraId="4D7BB509"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 gestor e fiscal(is)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1DDCF888" w14:textId="77777777" w:rsidR="000011CD" w:rsidRPr="00CB623E" w:rsidRDefault="000011CD" w:rsidP="00E40B30">
      <w:pPr>
        <w:tabs>
          <w:tab w:val="left" w:pos="0"/>
        </w:tabs>
        <w:spacing w:after="0" w:line="240" w:lineRule="auto"/>
        <w:contextualSpacing/>
        <w:rPr>
          <w:rFonts w:ascii="Times New Roman" w:eastAsia="Arial" w:hAnsi="Times New Roman" w:cs="Times New Roman"/>
          <w:b/>
          <w:sz w:val="16"/>
          <w:szCs w:val="16"/>
          <w:lang w:eastAsia="en-US"/>
        </w:rPr>
      </w:pPr>
    </w:p>
    <w:p w14:paraId="41374037" w14:textId="77777777" w:rsidR="000011CD" w:rsidRPr="00CB623E" w:rsidRDefault="000011CD" w:rsidP="00E40B30">
      <w:pPr>
        <w:numPr>
          <w:ilvl w:val="0"/>
          <w:numId w:val="48"/>
        </w:numPr>
        <w:tabs>
          <w:tab w:val="left" w:pos="0"/>
        </w:tabs>
        <w:spacing w:after="0" w:line="360" w:lineRule="auto"/>
        <w:ind w:left="0" w:firstLine="0"/>
        <w:contextualSpacing/>
        <w:rPr>
          <w:rFonts w:ascii="Times New Roman" w:eastAsia="Arial" w:hAnsi="Times New Roman" w:cs="Times New Roman"/>
          <w:b/>
          <w:sz w:val="24"/>
          <w:szCs w:val="24"/>
          <w:u w:val="single"/>
          <w:lang w:eastAsia="en-US"/>
        </w:rPr>
      </w:pPr>
      <w:r w:rsidRPr="00CB623E">
        <w:rPr>
          <w:rFonts w:ascii="Times New Roman" w:eastAsia="Arial" w:hAnsi="Times New Roman" w:cs="Times New Roman"/>
          <w:b/>
          <w:sz w:val="24"/>
          <w:szCs w:val="24"/>
          <w:u w:val="single"/>
          <w:lang w:eastAsia="en-US"/>
        </w:rPr>
        <w:t>CRITÉRIOS DE MEDIÇÃO E PAGAMENTO</w:t>
      </w:r>
    </w:p>
    <w:p w14:paraId="7FA74A6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avaliação da execução do objeto utilizará o Instrumento de Medição de Resultado (IMR), conforme modelo padrão disponibilizado, ou outro instrumento substituto para aferição da qualidade da prestação dos serviços</w:t>
      </w:r>
      <w:r w:rsidRPr="00CB623E">
        <w:rPr>
          <w:rFonts w:ascii="Times New Roman" w:eastAsia="Arial" w:hAnsi="Times New Roman" w:cs="Times New Roman"/>
          <w:sz w:val="24"/>
          <w:szCs w:val="24"/>
          <w:lang w:eastAsia="en-US"/>
        </w:rPr>
        <w:t>;</w:t>
      </w:r>
    </w:p>
    <w:p w14:paraId="4FDE5C1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utilização do IMR não impede a aplicação concomitante de outros mecanismos para a avaliação da prestação dos serviços;</w:t>
      </w:r>
    </w:p>
    <w:p w14:paraId="2080806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Será indicada a retenção ou glosa no pagamento, proporcional à irregularidade verificada, sem prejuízo das sanções cabíveis, caso se constate que a Contratada:</w:t>
      </w:r>
    </w:p>
    <w:p w14:paraId="7CCACE46"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Não produza os resultados acordados;</w:t>
      </w:r>
    </w:p>
    <w:p w14:paraId="0B5851FD"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Deixar de executar, ou não executar com a qualidade mínima exigida as atividades contratadas; ou</w:t>
      </w:r>
    </w:p>
    <w:p w14:paraId="564E0271"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Deixar de </w:t>
      </w:r>
      <w:r w:rsidRPr="00CB623E">
        <w:rPr>
          <w:rFonts w:ascii="Times New Roman" w:hAnsi="Times New Roman" w:cs="Times New Roman"/>
          <w:sz w:val="24"/>
          <w:szCs w:val="24"/>
          <w:lang w:eastAsia="en-US"/>
        </w:rPr>
        <w:t>utilizar materiais e recursos humanos exigidos para a execução do serviço, ou utilizá-los com qualidade ou quantidade inferior à demandada;</w:t>
      </w:r>
    </w:p>
    <w:p w14:paraId="09C09759" w14:textId="107C70FB" w:rsidR="000011CD" w:rsidRPr="00CB623E" w:rsidRDefault="000011CD" w:rsidP="00E40B30">
      <w:pPr>
        <w:pStyle w:val="PargrafodaLista"/>
        <w:numPr>
          <w:ilvl w:val="1"/>
          <w:numId w:val="48"/>
        </w:numPr>
        <w:tabs>
          <w:tab w:val="left" w:pos="0"/>
        </w:tabs>
        <w:spacing w:after="0" w:line="360" w:lineRule="auto"/>
        <w:ind w:left="851" w:hanging="851"/>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Do Recebimento</w:t>
      </w:r>
    </w:p>
    <w:p w14:paraId="3C7AF332" w14:textId="1C581EF8" w:rsidR="000011CD" w:rsidRPr="00CB623E" w:rsidRDefault="000011CD" w:rsidP="00E40B30">
      <w:pPr>
        <w:tabs>
          <w:tab w:val="left" w:pos="0"/>
        </w:tabs>
        <w:spacing w:after="0" w:line="360" w:lineRule="auto"/>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Os serviços serão recebidos </w:t>
      </w:r>
      <w:r w:rsidRPr="00CB623E">
        <w:rPr>
          <w:rFonts w:ascii="Times New Roman" w:eastAsia="Arial" w:hAnsi="Times New Roman" w:cs="Times New Roman"/>
          <w:sz w:val="24"/>
          <w:szCs w:val="24"/>
          <w:u w:val="single"/>
          <w:lang w:eastAsia="en-US"/>
        </w:rPr>
        <w:t>provisoriamente</w:t>
      </w:r>
      <w:r w:rsidRPr="00CB623E">
        <w:rPr>
          <w:rFonts w:ascii="Times New Roman" w:eastAsia="Arial" w:hAnsi="Times New Roman" w:cs="Times New Roman"/>
          <w:sz w:val="24"/>
          <w:szCs w:val="24"/>
          <w:lang w:eastAsia="en-US"/>
        </w:rPr>
        <w:t xml:space="preserve">, no prazo de 05 (cinco) dias, pelo(a) responsável pelo acompanhamento e fiscalização do contrato, mediante termos detalhados, quando verificado o cumprimento das exigências de caráter técnico e administrativo. (Art. 140, I, </w:t>
      </w:r>
      <w:r w:rsidR="00EB475A" w:rsidRPr="00CB623E">
        <w:rPr>
          <w:rFonts w:ascii="Times New Roman" w:eastAsia="Arial" w:hAnsi="Times New Roman" w:cs="Times New Roman"/>
          <w:sz w:val="24"/>
          <w:szCs w:val="24"/>
          <w:lang w:eastAsia="en-US"/>
        </w:rPr>
        <w:t>a,</w:t>
      </w:r>
      <w:r w:rsidRPr="00CB623E">
        <w:rPr>
          <w:rFonts w:ascii="Times New Roman" w:eastAsia="Arial" w:hAnsi="Times New Roman" w:cs="Times New Roman"/>
          <w:sz w:val="24"/>
          <w:szCs w:val="24"/>
          <w:lang w:eastAsia="en-US"/>
        </w:rPr>
        <w:t xml:space="preserve"> da Lei nº 14.133, de 2021 e Arts. 22, X e 23, X do Decreto nº 11.246, de 2022).</w:t>
      </w:r>
    </w:p>
    <w:p w14:paraId="53D0920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lastRenderedPageBreak/>
        <w:t>O prazo da disposição acima será contado do recebimento de comunicação de cobrança oriunda do contratado com a comprovação da prestação dos serviços a que se referem a parcela a ser paga;</w:t>
      </w:r>
    </w:p>
    <w:p w14:paraId="037F716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Os fiscais do contrato realizarão o recebimento provisório do objeto do contrato mediante termo detalhado que comprove o cumprimento das exigências de caráter técnico e administrativo;</w:t>
      </w:r>
    </w:p>
    <w:p w14:paraId="4B2E929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4B9EB8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Os serviços poderão ser rejeitados, no todo ou em parte, inclusive antes do recebimento provisório, quando em desacordo com as especificações constantes neste Termo de Referência e na proposta, devendo ser substituídos no prazo de 05 (cinco) dias, a contar da notificação da contratada, às suas custas, sem prejuízo da aplicação das penalidades.</w:t>
      </w:r>
    </w:p>
    <w:p w14:paraId="7B8DFAAD"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Os serviços serão recebidos </w:t>
      </w:r>
      <w:r w:rsidRPr="00CB623E">
        <w:rPr>
          <w:rFonts w:ascii="Times New Roman" w:eastAsia="Arial" w:hAnsi="Times New Roman" w:cs="Times New Roman"/>
          <w:sz w:val="24"/>
          <w:szCs w:val="24"/>
          <w:u w:val="single"/>
          <w:lang w:eastAsia="en-US"/>
        </w:rPr>
        <w:t>definitivamente</w:t>
      </w:r>
      <w:r w:rsidRPr="00CB623E">
        <w:rPr>
          <w:rFonts w:ascii="Times New Roman" w:eastAsia="Arial" w:hAnsi="Times New Roman" w:cs="Times New Roman"/>
          <w:sz w:val="24"/>
          <w:szCs w:val="24"/>
          <w:lang w:eastAsia="en-US"/>
        </w:rPr>
        <w:t xml:space="preserve"> no prazo de 05 (cinco) dias úteis, a contar do recebimento provisório, </w:t>
      </w:r>
      <w:r w:rsidRPr="00CB623E">
        <w:rPr>
          <w:rFonts w:ascii="Times New Roman" w:hAnsi="Times New Roman" w:cs="Times New Roman"/>
          <w:sz w:val="24"/>
          <w:szCs w:val="24"/>
          <w:lang w:eastAsia="en-US"/>
        </w:rPr>
        <w:t>por servidor ou comissão designada pela autoridade competente, após a verificação da qualidade e quantidade do serviço e consequente aceitação mediante termo detalhado, obedecendo os seguintes procedimentos:</w:t>
      </w:r>
    </w:p>
    <w:p w14:paraId="10D6AE1F"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color w:val="000000"/>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6E284B3"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Emitir Termo Detalhado para efeito de recebimento definitivo dos serviços prestados, com base nos relatórios e documentações apresentadas;</w:t>
      </w:r>
    </w:p>
    <w:p w14:paraId="0B098BAA"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Comunicar a empresa para que emita a Nota Fiscal ou Fatura, com o valor exato dimensionado pela fiscalização;</w:t>
      </w:r>
    </w:p>
    <w:p w14:paraId="083FBAE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Enviar a documentação pertinente ao setor de contratos para a formalização dos procedimentos de liquidação e pagamento, no valor dimensionado pela fiscalização e gestão.</w:t>
      </w:r>
    </w:p>
    <w:p w14:paraId="0FF2B220"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6CA8268D"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Para as contratações decorrentes de despesas cujos valores não ultrapassem o limite de que trata o inciso II do art. 75 da Lei nº 14.133, de 2021, o prazo máximo para o recebimento definitivo será de até 05 (cinco) dias úteis.</w:t>
      </w:r>
    </w:p>
    <w:p w14:paraId="09DBE08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color w:val="000000"/>
          <w:sz w:val="24"/>
          <w:szCs w:val="24"/>
          <w:lang w:eastAsia="en-US"/>
        </w:rPr>
        <w:t>Nenhum prazo de recebimento ocorrerá enquanto pendente a solução, pelo contratado, de inconsistências verificadas na execução do objeto ou no instrumento de cobrança;</w:t>
      </w:r>
    </w:p>
    <w:p w14:paraId="5340F40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DDDB236" w14:textId="2CD89F0E"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Toda prorrogação de prazo de início dos serviços deverá ser justificada por escrito e previamente autorizada pela Autoridade Superior, devendo a solicitação ser encaminhada à Secretaria Municipal de Educação </w:t>
      </w:r>
      <w:r w:rsidR="00D37E76" w:rsidRPr="00CB623E">
        <w:rPr>
          <w:rFonts w:ascii="Times New Roman" w:hAnsi="Times New Roman" w:cs="Times New Roman"/>
          <w:sz w:val="24"/>
          <w:szCs w:val="24"/>
          <w:lang w:eastAsia="en-US"/>
        </w:rPr>
        <w:t xml:space="preserve">e Secretaria Municipal de Assistência Social e Direitos Humanos em </w:t>
      </w:r>
      <w:r w:rsidRPr="00CB623E">
        <w:rPr>
          <w:rFonts w:ascii="Times New Roman" w:hAnsi="Times New Roman" w:cs="Times New Roman"/>
          <w:sz w:val="24"/>
          <w:szCs w:val="24"/>
          <w:lang w:eastAsia="en-US"/>
        </w:rPr>
        <w:t xml:space="preserve">até 02 (dois) dias antes do vencimento do prazo de início da execução estipulado e ainda na vigência contratual; </w:t>
      </w:r>
    </w:p>
    <w:p w14:paraId="3D0AB86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recebimento provisório ou definitivo do objeto do Contrato não exclui a responsabilidade da contratada pelos prejuízos resultantes da incorreta execução do contrato;</w:t>
      </w:r>
    </w:p>
    <w:p w14:paraId="5F503754" w14:textId="61C0A59C"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No caso de controvérsia sobre a execução do objeto, quanto à dimensão, qualidade e quantidade, deverá ser observado o teor do art. 143 da Lei nº 14.133, de 2021, comunicando-se à empresa para emissão de Nota Fiscal no que </w:t>
      </w:r>
      <w:r w:rsidR="003A7BB7" w:rsidRPr="00CB623E">
        <w:rPr>
          <w:rFonts w:ascii="Times New Roman" w:eastAsia="Arial" w:hAnsi="Times New Roman" w:cs="Times New Roman"/>
          <w:sz w:val="24"/>
          <w:szCs w:val="24"/>
          <w:lang w:eastAsia="en-US"/>
        </w:rPr>
        <w:t>pertence</w:t>
      </w:r>
      <w:r w:rsidRPr="00CB623E">
        <w:rPr>
          <w:rFonts w:ascii="Times New Roman" w:eastAsia="Arial" w:hAnsi="Times New Roman" w:cs="Times New Roman"/>
          <w:sz w:val="24"/>
          <w:szCs w:val="24"/>
          <w:lang w:eastAsia="en-US"/>
        </w:rPr>
        <w:t xml:space="preserve"> à parcela incontroversa da execução do objeto, para efeito de liquidação e pagamento.</w:t>
      </w:r>
    </w:p>
    <w:p w14:paraId="2367866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9C050B"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recebimento provisório ou definitivo não excluirá a responsabilidade civil pela solidez e pela segurança do serviço nem a responsabilidade ético-profissional pela perfeita execução do contrato.</w:t>
      </w:r>
    </w:p>
    <w:p w14:paraId="5D7A58DA" w14:textId="35B6E6A7" w:rsidR="000011CD" w:rsidRPr="00CB623E" w:rsidRDefault="000011CD" w:rsidP="00E40B30">
      <w:pPr>
        <w:pStyle w:val="PargrafodaLista"/>
        <w:numPr>
          <w:ilvl w:val="1"/>
          <w:numId w:val="48"/>
        </w:numPr>
        <w:tabs>
          <w:tab w:val="left" w:pos="0"/>
        </w:tabs>
        <w:spacing w:after="0" w:line="360" w:lineRule="auto"/>
        <w:ind w:left="851" w:hanging="851"/>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Liquidação e pagamento</w:t>
      </w:r>
    </w:p>
    <w:p w14:paraId="39AF8594" w14:textId="77777777" w:rsidR="000011CD" w:rsidRPr="00CB623E" w:rsidRDefault="000011CD" w:rsidP="00E40B30">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Os processos de pagamento ocorrerão na forma prevista no Decreto Municipal Nº 3642, de 30 de maio de 2023;</w:t>
      </w:r>
    </w:p>
    <w:p w14:paraId="1DA4453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w:t>
      </w:r>
      <w:r w:rsidRPr="00CB623E">
        <w:rPr>
          <w:rFonts w:ascii="Times New Roman" w:hAnsi="Times New Roman" w:cs="Times New Roman"/>
          <w:sz w:val="24"/>
          <w:szCs w:val="24"/>
          <w:lang w:eastAsia="en-US"/>
        </w:rPr>
        <w:lastRenderedPageBreak/>
        <w:t>despesa, nos termos do art. 63 da Lei Federal nº 4.320/64  e Decreto Municipal Nº 3642/2023, observado o disposto no art. 141 da Lei Federal nº 14.133/2021.</w:t>
      </w:r>
    </w:p>
    <w:p w14:paraId="41FF857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Os processos de pagamento serão iniciados com a requisição de pagamento, isenta de erros, no protocolo geral, e encaminhado ao contratante que será responsável pela instrução do processo a fim de possibilitar a liquidação da despesa.</w:t>
      </w:r>
    </w:p>
    <w:p w14:paraId="02B06BE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4527EA1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274D1DAD"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547836B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22D8AFAD"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Ordem de Serviço e/ou Compra no valor da despesa pleiteada para pagamento;</w:t>
      </w:r>
    </w:p>
    <w:p w14:paraId="6DD85078"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Correto enquadramento da despesa quanto à função programática e elemento de despesa;</w:t>
      </w:r>
    </w:p>
    <w:p w14:paraId="1E93F685"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Certidões de regularidade para com a União, FGTS e Certidão Negativa de Débitos Trabalhistas;</w:t>
      </w:r>
    </w:p>
    <w:p w14:paraId="2D650796"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Declaração de que mantém as demais condições de habilitação;</w:t>
      </w:r>
    </w:p>
    <w:p w14:paraId="17E0D2F9"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Mapa de controle da execução contratual, constando identificação, matrícula e assinatura dos servidores municipais;</w:t>
      </w:r>
    </w:p>
    <w:p w14:paraId="270A46E4"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Publicação da Portaria de Designação da Comissão Fiscalizadora do Contrato;</w:t>
      </w:r>
    </w:p>
    <w:p w14:paraId="504E67A7"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Relatório de Fiscalização do Contrato emitido pelos membros da respectiva Comissão de Fiscalização;</w:t>
      </w:r>
    </w:p>
    <w:p w14:paraId="6AEB4ECD" w14:textId="77777777" w:rsidR="000011CD" w:rsidRPr="00CB623E" w:rsidRDefault="000011CD" w:rsidP="00E40B30">
      <w:pPr>
        <w:numPr>
          <w:ilvl w:val="2"/>
          <w:numId w:val="48"/>
        </w:numPr>
        <w:tabs>
          <w:tab w:val="left" w:pos="0"/>
          <w:tab w:val="left" w:pos="851"/>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Comprovante de encaminhamento do ato firmado entre o Município e o prestador de serviço/fornecedor ao Tribunal de Contas do Estado do Rio de Janeiro - TCE/RJ, nos termos da Deliberação TCE/RJ nº 262/14;</w:t>
      </w:r>
    </w:p>
    <w:p w14:paraId="603B0635" w14:textId="77777777" w:rsidR="000011CD" w:rsidRPr="00CB623E" w:rsidRDefault="000011CD" w:rsidP="00E40B30">
      <w:pPr>
        <w:numPr>
          <w:ilvl w:val="2"/>
          <w:numId w:val="48"/>
        </w:numPr>
        <w:tabs>
          <w:tab w:val="left" w:pos="0"/>
          <w:tab w:val="left" w:pos="851"/>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lastRenderedPageBreak/>
        <w:t>Cópia do comprovante de incorporação do bem permanente adquirido ao patrimônio municipal, quando for o caso, assim como das obras em andamento.</w:t>
      </w:r>
    </w:p>
    <w:p w14:paraId="536A034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Documento comprobatório da realização da despesa (nota fiscal ou documento equivalente na forma original), deverá ser emitido na mesma data ou posteriormente à nota de empenho e que atenda aos seguintes requisitos:</w:t>
      </w:r>
    </w:p>
    <w:p w14:paraId="250CCDCE"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Esteja no prazo;</w:t>
      </w:r>
    </w:p>
    <w:p w14:paraId="774019D8"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Contenha, em seu verso, data, assinatura e matrícula dos servidores designados para compor a fiscalização do contrato, plenamente identificados, atestando o recebimento dos bens ou serviços;</w:t>
      </w:r>
    </w:p>
    <w:p w14:paraId="712C74A4"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Não contenha rasuras, emendas ou borrões;</w:t>
      </w:r>
    </w:p>
    <w:p w14:paraId="5183BD79"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Contenha especificação dos itens e respectivos preços constantes no documento comprobatório da despesa correspondente àqueles previstos na nota de empenho;</w:t>
      </w:r>
    </w:p>
    <w:p w14:paraId="4608BB93" w14:textId="77777777" w:rsidR="000011CD" w:rsidRPr="00CB623E" w:rsidRDefault="000011CD" w:rsidP="00E40B30">
      <w:pPr>
        <w:tabs>
          <w:tab w:val="left" w:pos="0"/>
          <w:tab w:val="left" w:pos="420"/>
        </w:tabs>
        <w:spacing w:after="0" w:line="240" w:lineRule="auto"/>
        <w:contextualSpacing/>
        <w:rPr>
          <w:rFonts w:ascii="Times New Roman" w:hAnsi="Times New Roman" w:cs="Times New Roman"/>
          <w:b/>
          <w:sz w:val="16"/>
          <w:szCs w:val="16"/>
          <w:lang w:eastAsia="en-US"/>
        </w:rPr>
      </w:pPr>
    </w:p>
    <w:p w14:paraId="5810D077" w14:textId="77777777" w:rsidR="000011CD" w:rsidRPr="00CB623E" w:rsidRDefault="000011CD" w:rsidP="00047003">
      <w:pPr>
        <w:numPr>
          <w:ilvl w:val="0"/>
          <w:numId w:val="48"/>
        </w:numPr>
        <w:tabs>
          <w:tab w:val="left" w:pos="0"/>
          <w:tab w:val="left" w:pos="420"/>
        </w:tabs>
        <w:spacing w:after="0" w:line="360" w:lineRule="auto"/>
        <w:ind w:left="0" w:firstLine="0"/>
        <w:contextualSpacing/>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FORMA E CRITÉRIOS DE SELEÇÃO E REGIME DE EXECUÇÃO</w:t>
      </w:r>
    </w:p>
    <w:p w14:paraId="181A4BCF" w14:textId="15825B60" w:rsidR="000011CD" w:rsidRPr="00CB623E" w:rsidRDefault="000011CD" w:rsidP="00E40B30">
      <w:pPr>
        <w:pStyle w:val="PargrafodaLista"/>
        <w:numPr>
          <w:ilvl w:val="1"/>
          <w:numId w:val="48"/>
        </w:numPr>
        <w:tabs>
          <w:tab w:val="left" w:pos="0"/>
        </w:tabs>
        <w:spacing w:after="0" w:line="360" w:lineRule="auto"/>
        <w:ind w:left="851" w:hanging="851"/>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Critério de julgamento e regime de execução</w:t>
      </w:r>
    </w:p>
    <w:p w14:paraId="43DB113A" w14:textId="4BA429AA" w:rsidR="000011CD" w:rsidRPr="00CB623E" w:rsidRDefault="000011CD" w:rsidP="00E40B30">
      <w:pPr>
        <w:tabs>
          <w:tab w:val="left" w:pos="0"/>
        </w:tabs>
        <w:spacing w:after="0" w:line="360" w:lineRule="auto"/>
        <w:contextualSpacing/>
        <w:rPr>
          <w:rFonts w:ascii="Times New Roman" w:hAnsi="Times New Roman" w:cs="Times New Roman"/>
          <w:sz w:val="24"/>
          <w:szCs w:val="24"/>
          <w:lang w:eastAsia="en-US"/>
        </w:rPr>
      </w:pPr>
      <w:bookmarkStart w:id="1" w:name="_Hlk206147181"/>
      <w:r w:rsidRPr="00CB623E">
        <w:rPr>
          <w:rFonts w:ascii="Times New Roman" w:hAnsi="Times New Roman" w:cs="Times New Roman"/>
          <w:sz w:val="24"/>
          <w:szCs w:val="24"/>
          <w:lang w:eastAsia="en-US"/>
        </w:rPr>
        <w:t>O prestador de serviços será selecionado por meio da realização de procedimento de LICITAÇÃO, na modalidade PREGÃO, sob a forma ELETRÔNICA</w:t>
      </w:r>
      <w:r w:rsidR="006F6EBB" w:rsidRPr="00CB623E">
        <w:rPr>
          <w:rFonts w:ascii="Times New Roman" w:hAnsi="Times New Roman" w:cs="Times New Roman"/>
          <w:sz w:val="24"/>
          <w:szCs w:val="24"/>
          <w:lang w:eastAsia="en-US"/>
        </w:rPr>
        <w:t>,</w:t>
      </w:r>
      <w:r w:rsidRPr="00CB623E">
        <w:rPr>
          <w:rFonts w:ascii="Times New Roman" w:hAnsi="Times New Roman" w:cs="Times New Roman"/>
          <w:sz w:val="24"/>
          <w:szCs w:val="24"/>
          <w:lang w:eastAsia="en-US"/>
        </w:rPr>
        <w:t xml:space="preserve"> com adoção do critério de julgamento pelo </w:t>
      </w:r>
      <w:r w:rsidRPr="00CB623E">
        <w:rPr>
          <w:rFonts w:ascii="Times New Roman" w:hAnsi="Times New Roman" w:cs="Times New Roman"/>
          <w:b/>
          <w:bCs/>
          <w:sz w:val="24"/>
          <w:szCs w:val="24"/>
          <w:lang w:eastAsia="en-US"/>
        </w:rPr>
        <w:t>MENOR PREÇO por ITEM</w:t>
      </w:r>
      <w:bookmarkEnd w:id="1"/>
      <w:r w:rsidR="007B156E" w:rsidRPr="00CB623E">
        <w:rPr>
          <w:rFonts w:ascii="Times New Roman" w:hAnsi="Times New Roman" w:cs="Times New Roman"/>
          <w:b/>
          <w:bCs/>
          <w:sz w:val="24"/>
          <w:szCs w:val="24"/>
          <w:lang w:eastAsia="en-US"/>
        </w:rPr>
        <w:t xml:space="preserve"> 1, 2, 3 e </w:t>
      </w:r>
      <w:r w:rsidR="007B156E" w:rsidRPr="00CB623E">
        <w:rPr>
          <w:rFonts w:ascii="Times New Roman" w:hAnsi="Times New Roman" w:cs="Times New Roman"/>
          <w:b/>
          <w:bCs/>
          <w:sz w:val="24"/>
          <w:szCs w:val="24"/>
        </w:rPr>
        <w:t>MAIOR PERCENTUAL DE DESCONTO</w:t>
      </w:r>
      <w:r w:rsidR="007B156E" w:rsidRPr="00CB623E">
        <w:rPr>
          <w:rFonts w:ascii="Times New Roman" w:hAnsi="Times New Roman" w:cs="Times New Roman"/>
          <w:sz w:val="24"/>
          <w:szCs w:val="24"/>
        </w:rPr>
        <w:t xml:space="preserve"> -</w:t>
      </w:r>
      <w:r w:rsidR="00F44F59" w:rsidRPr="00CB623E">
        <w:rPr>
          <w:rFonts w:ascii="Times New Roman" w:hAnsi="Times New Roman" w:cs="Times New Roman"/>
          <w:sz w:val="24"/>
          <w:szCs w:val="24"/>
        </w:rPr>
        <w:t xml:space="preserve"> </w:t>
      </w:r>
      <w:r w:rsidR="00F44F59" w:rsidRPr="00CB623E">
        <w:rPr>
          <w:rFonts w:ascii="Times New Roman" w:hAnsi="Times New Roman" w:cs="Times New Roman"/>
          <w:b/>
          <w:bCs/>
          <w:sz w:val="24"/>
          <w:szCs w:val="24"/>
        </w:rPr>
        <w:t>ITEM 4</w:t>
      </w:r>
      <w:r w:rsidR="00F44F59" w:rsidRPr="00CB623E">
        <w:rPr>
          <w:rFonts w:ascii="Times New Roman" w:hAnsi="Times New Roman" w:cs="Times New Roman"/>
          <w:sz w:val="24"/>
          <w:szCs w:val="24"/>
        </w:rPr>
        <w:t xml:space="preserve">. </w:t>
      </w:r>
      <w:r w:rsidR="007B156E" w:rsidRPr="00CB623E">
        <w:rPr>
          <w:rFonts w:ascii="Times New Roman" w:hAnsi="Times New Roman" w:cs="Times New Roman"/>
          <w:sz w:val="24"/>
          <w:szCs w:val="24"/>
        </w:rPr>
        <w:t>Sobre o preço médio ao consumidor divulgado pelo sistema de levantamento de preços da Agência Nacional do Petróleo, Gás Natural e Biocombustíveis (Duque de Caxias/RJ) – ANP.</w:t>
      </w:r>
      <w:r w:rsidR="007B156E" w:rsidRPr="00CB623E">
        <w:rPr>
          <w:rFonts w:ascii="Times New Roman" w:hAnsi="Times New Roman" w:cs="Times New Roman"/>
          <w:b/>
          <w:bCs/>
          <w:sz w:val="24"/>
          <w:szCs w:val="24"/>
          <w:lang w:eastAsia="en-US"/>
        </w:rPr>
        <w:t xml:space="preserve"> </w:t>
      </w:r>
    </w:p>
    <w:p w14:paraId="0DC848E4" w14:textId="2CB61900" w:rsidR="003E328A" w:rsidRPr="00CB623E" w:rsidRDefault="003E328A"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parcelamento por item amplia a competitividade, possibilita a participação de maior número de fornecedores e assegura a contratação mais vantajosa para cada item individualmente, garantindo economicidade e melhor aplicação dos recursos públicos.</w:t>
      </w:r>
    </w:p>
    <w:p w14:paraId="4630AD6B" w14:textId="4C7161D9"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O regime de execução do contrato será </w:t>
      </w:r>
      <w:r w:rsidR="00287E5B" w:rsidRPr="00CB623E">
        <w:rPr>
          <w:rFonts w:ascii="Times New Roman" w:hAnsi="Times New Roman" w:cs="Times New Roman"/>
          <w:sz w:val="24"/>
          <w:szCs w:val="24"/>
          <w:lang w:eastAsia="en-US"/>
        </w:rPr>
        <w:t>empreitado</w:t>
      </w:r>
      <w:r w:rsidRPr="00CB623E">
        <w:rPr>
          <w:rFonts w:ascii="Times New Roman" w:hAnsi="Times New Roman" w:cs="Times New Roman"/>
          <w:sz w:val="24"/>
          <w:szCs w:val="24"/>
          <w:lang w:eastAsia="en-US"/>
        </w:rPr>
        <w:t xml:space="preserve"> por preço unitário.</w:t>
      </w:r>
    </w:p>
    <w:p w14:paraId="0F094321" w14:textId="3630E44B" w:rsidR="00762D97" w:rsidRPr="00CB623E" w:rsidRDefault="00DF3667" w:rsidP="00762D97">
      <w:pPr>
        <w:numPr>
          <w:ilvl w:val="1"/>
          <w:numId w:val="48"/>
        </w:numPr>
        <w:tabs>
          <w:tab w:val="left" w:pos="0"/>
        </w:tabs>
        <w:spacing w:after="0" w:line="360" w:lineRule="auto"/>
        <w:ind w:left="0" w:firstLine="0"/>
        <w:contextualSpacing/>
        <w:rPr>
          <w:rFonts w:ascii="Times New Roman" w:hAnsi="Times New Roman" w:cs="Times New Roman"/>
          <w:b/>
          <w:bCs/>
          <w:sz w:val="24"/>
          <w:szCs w:val="24"/>
          <w:u w:val="single"/>
          <w:lang w:eastAsia="en-US"/>
        </w:rPr>
      </w:pPr>
      <w:r w:rsidRPr="00CB623E">
        <w:rPr>
          <w:rFonts w:ascii="Times New Roman" w:hAnsi="Times New Roman" w:cs="Times New Roman"/>
          <w:b/>
          <w:bCs/>
          <w:sz w:val="24"/>
          <w:szCs w:val="24"/>
          <w:u w:val="single"/>
          <w:lang w:eastAsia="en-US"/>
        </w:rPr>
        <w:t>I</w:t>
      </w:r>
      <w:r w:rsidRPr="00CB623E">
        <w:rPr>
          <w:rFonts w:ascii="Times New Roman" w:hAnsi="Times New Roman"/>
          <w:b/>
          <w:bCs/>
          <w:sz w:val="24"/>
          <w:szCs w:val="24"/>
          <w:u w:val="single"/>
        </w:rPr>
        <w:t>nversão de Fases</w:t>
      </w:r>
    </w:p>
    <w:p w14:paraId="27FDD914" w14:textId="7578C6D3" w:rsidR="00DF3667" w:rsidRPr="00CB623E" w:rsidRDefault="00762D97" w:rsidP="00762D97">
      <w:pPr>
        <w:pStyle w:val="PargrafodaLista"/>
        <w:numPr>
          <w:ilvl w:val="2"/>
          <w:numId w:val="48"/>
        </w:numPr>
        <w:tabs>
          <w:tab w:val="left" w:pos="0"/>
        </w:tabs>
        <w:spacing w:after="0" w:line="360" w:lineRule="auto"/>
        <w:ind w:left="0" w:firstLine="0"/>
        <w:rPr>
          <w:rFonts w:ascii="Times New Roman" w:hAnsi="Times New Roman" w:cs="Times New Roman"/>
          <w:b/>
          <w:sz w:val="24"/>
          <w:szCs w:val="24"/>
          <w:lang w:eastAsia="en-US"/>
        </w:rPr>
      </w:pPr>
      <w:r w:rsidRPr="00CB623E">
        <w:rPr>
          <w:rFonts w:ascii="Times New Roman" w:hAnsi="Times New Roman"/>
          <w:sz w:val="24"/>
          <w:szCs w:val="24"/>
        </w:rPr>
        <w:t>Com fundamento no § 1º do art. 17 da Lei nº 14.133/2021, a Administração opta pela inversão das fases da licitação, procedendo-se à análise da documentação de habilitação previamente à abertura e ao julgamento das propostas</w:t>
      </w:r>
      <w:r w:rsidR="00A84AEF" w:rsidRPr="00CB623E">
        <w:rPr>
          <w:rFonts w:ascii="Times New Roman" w:hAnsi="Times New Roman"/>
          <w:sz w:val="24"/>
          <w:szCs w:val="24"/>
        </w:rPr>
        <w:t>.</w:t>
      </w:r>
    </w:p>
    <w:p w14:paraId="7EE6867D" w14:textId="4B805FD8" w:rsidR="00DF3667" w:rsidRPr="00CB623E" w:rsidRDefault="00DE1AFA" w:rsidP="00394E87">
      <w:pPr>
        <w:pStyle w:val="PargrafodaLista"/>
        <w:numPr>
          <w:ilvl w:val="2"/>
          <w:numId w:val="48"/>
        </w:numPr>
        <w:tabs>
          <w:tab w:val="left" w:pos="0"/>
        </w:tabs>
        <w:spacing w:after="0" w:line="360" w:lineRule="auto"/>
        <w:ind w:left="0" w:firstLine="0"/>
        <w:rPr>
          <w:rFonts w:ascii="Times New Roman" w:hAnsi="Times New Roman" w:cs="Times New Roman"/>
          <w:b/>
          <w:sz w:val="24"/>
          <w:szCs w:val="24"/>
          <w:lang w:eastAsia="en-US"/>
        </w:rPr>
      </w:pPr>
      <w:r w:rsidRPr="00CB623E">
        <w:rPr>
          <w:rFonts w:ascii="Times New Roman" w:eastAsia="Times New Roman" w:hAnsi="Times New Roman" w:cs="Times New Roman"/>
          <w:sz w:val="24"/>
          <w:szCs w:val="24"/>
        </w:rPr>
        <w:t xml:space="preserve">A adoção da inversão de fases encontra fundamento nos princípios da eficiência, economicidade, planejamento e gestão de riscos, considerando que o objeto envolve fornecimento parcelado, contínuo e simultâneo de material estratégico para Secretaria Municipal de Educação e a </w:t>
      </w:r>
      <w:r w:rsidRPr="00CB623E">
        <w:rPr>
          <w:rFonts w:ascii="Times New Roman" w:hAnsi="Times New Roman" w:cs="Times New Roman"/>
          <w:sz w:val="24"/>
          <w:szCs w:val="24"/>
          <w:lang w:eastAsia="en-US"/>
        </w:rPr>
        <w:t>Secretaria Municipal de Assistência Social e Direitos Humanos</w:t>
      </w:r>
      <w:r w:rsidRPr="00CB623E">
        <w:rPr>
          <w:rFonts w:ascii="Times New Roman" w:eastAsia="Times New Roman" w:hAnsi="Times New Roman" w:cs="Times New Roman"/>
          <w:sz w:val="24"/>
          <w:szCs w:val="24"/>
        </w:rPr>
        <w:t xml:space="preserve"> exigindo verificação prévia da capacidade jurídica, fiscal, trabalhista, técnica, operacional e econômico-financeira das licitantes. </w:t>
      </w:r>
    </w:p>
    <w:p w14:paraId="1FB817E4" w14:textId="465A4747" w:rsidR="00DE1AFA" w:rsidRPr="00CB623E" w:rsidRDefault="00DE1AFA" w:rsidP="00394E87">
      <w:pPr>
        <w:pStyle w:val="PargrafodaLista"/>
        <w:numPr>
          <w:ilvl w:val="2"/>
          <w:numId w:val="48"/>
        </w:numPr>
        <w:tabs>
          <w:tab w:val="left" w:pos="0"/>
        </w:tabs>
        <w:spacing w:after="0" w:line="360" w:lineRule="auto"/>
        <w:ind w:left="0" w:firstLine="0"/>
        <w:rPr>
          <w:rFonts w:ascii="Times New Roman" w:hAnsi="Times New Roman" w:cs="Times New Roman"/>
          <w:b/>
          <w:sz w:val="24"/>
          <w:szCs w:val="24"/>
          <w:lang w:eastAsia="en-US"/>
        </w:rPr>
      </w:pPr>
      <w:r w:rsidRPr="00CB623E">
        <w:rPr>
          <w:rFonts w:ascii="Times New Roman" w:eastAsia="Times New Roman" w:hAnsi="Times New Roman" w:cs="Times New Roman"/>
          <w:sz w:val="24"/>
          <w:szCs w:val="24"/>
        </w:rPr>
        <w:lastRenderedPageBreak/>
        <w:t>A habilitação prévia contribui para mitigar riscos de participação de empresas sem condições mínimas de execução, reduzindo a probabilidade de propostas inexequíveis, desistências injustificadas, atrasos, fornecimento de materiais inadequados, desabastecimento operacional e prejuízos à continuidade dos serviços públicos essenciais.</w:t>
      </w:r>
    </w:p>
    <w:p w14:paraId="49D64B0E" w14:textId="6815A50F" w:rsidR="00DE1AFA" w:rsidRPr="00CB623E" w:rsidRDefault="00DE1AFA" w:rsidP="00394E87">
      <w:pPr>
        <w:pStyle w:val="PargrafodaLista"/>
        <w:numPr>
          <w:ilvl w:val="2"/>
          <w:numId w:val="48"/>
        </w:numPr>
        <w:tabs>
          <w:tab w:val="left" w:pos="0"/>
        </w:tabs>
        <w:spacing w:after="0" w:line="360" w:lineRule="auto"/>
        <w:ind w:left="0" w:firstLine="0"/>
        <w:rPr>
          <w:rFonts w:ascii="Times New Roman" w:hAnsi="Times New Roman" w:cs="Times New Roman"/>
          <w:b/>
          <w:sz w:val="24"/>
          <w:szCs w:val="24"/>
          <w:lang w:eastAsia="en-US"/>
        </w:rPr>
      </w:pPr>
      <w:r w:rsidRPr="00CB623E">
        <w:rPr>
          <w:rFonts w:ascii="Times New Roman" w:eastAsia="Times New Roman" w:hAnsi="Times New Roman" w:cs="Times New Roman"/>
          <w:sz w:val="24"/>
          <w:szCs w:val="24"/>
        </w:rPr>
        <w:t>A inversão das fases não compromete a competitividade nem a isonomia, pois os critérios de habilitação foram definidos de forma objetiva, proporcional e compatível com a natureza e a complexidade operacional do objeto, conforme detalhado neste Termo de Referência.</w:t>
      </w:r>
    </w:p>
    <w:p w14:paraId="5479C96C" w14:textId="04A4A22C" w:rsidR="000011CD" w:rsidRPr="00CB623E" w:rsidRDefault="000011CD" w:rsidP="00DE1AFA">
      <w:pPr>
        <w:pStyle w:val="PargrafodaLista"/>
        <w:numPr>
          <w:ilvl w:val="1"/>
          <w:numId w:val="48"/>
        </w:numPr>
        <w:tabs>
          <w:tab w:val="left" w:pos="0"/>
        </w:tabs>
        <w:spacing w:after="0" w:line="360" w:lineRule="auto"/>
        <w:ind w:left="7" w:hanging="7"/>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Exigências de habilitação</w:t>
      </w:r>
    </w:p>
    <w:p w14:paraId="5F310F1F" w14:textId="77777777" w:rsidR="000011CD" w:rsidRPr="00CB623E" w:rsidRDefault="000011CD" w:rsidP="00DE1AFA">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Para fins de habilitação, deverá o interessado comprovar os seguintes requisitos:</w:t>
      </w:r>
    </w:p>
    <w:p w14:paraId="781DFEC3" w14:textId="77777777" w:rsidR="000011CD" w:rsidRPr="00CB623E" w:rsidRDefault="000011CD" w:rsidP="009A7B17">
      <w:pPr>
        <w:tabs>
          <w:tab w:val="left" w:pos="0"/>
        </w:tabs>
        <w:spacing w:after="0" w:line="360" w:lineRule="auto"/>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Habilitação jurídica</w:t>
      </w:r>
    </w:p>
    <w:p w14:paraId="31C36B4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Pessoa física:</w:t>
      </w:r>
      <w:r w:rsidRPr="00CB623E">
        <w:rPr>
          <w:rFonts w:ascii="Times New Roman" w:hAnsi="Times New Roman" w:cs="Times New Roman"/>
          <w:sz w:val="24"/>
          <w:szCs w:val="24"/>
          <w:lang w:eastAsia="en-US"/>
        </w:rPr>
        <w:t xml:space="preserve"> cédula de identidade (RG) ou documento equivalente que, por força de lei, tenha validade para fins de identificação em todo o território nacional;</w:t>
      </w:r>
    </w:p>
    <w:p w14:paraId="30F6BCE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Empresário individual:</w:t>
      </w:r>
      <w:r w:rsidRPr="00CB623E">
        <w:rPr>
          <w:rFonts w:ascii="Times New Roman" w:hAnsi="Times New Roman" w:cs="Times New Roman"/>
          <w:sz w:val="24"/>
          <w:szCs w:val="24"/>
          <w:lang w:eastAsia="en-US"/>
        </w:rPr>
        <w:t xml:space="preserve"> inscrição no Registro Público de Empresas Mercantis, a cargo da Junta Comercial da respectiva sede; </w:t>
      </w:r>
    </w:p>
    <w:p w14:paraId="04B91840"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Microempreendedor Individual - MEI:</w:t>
      </w:r>
      <w:r w:rsidRPr="00CB623E">
        <w:rPr>
          <w:rFonts w:ascii="Times New Roman" w:hAnsi="Times New Roman" w:cs="Times New Roman"/>
          <w:sz w:val="24"/>
          <w:szCs w:val="24"/>
          <w:lang w:eastAsia="en-US"/>
        </w:rPr>
        <w:t xml:space="preserve"> Certificado da Condição de Microempreendedor Individual - CCMEI, cuja aceitação ficará condicionada à verificação da autenticidade no sítio https://www.gov.br/empresas-e-negocios/pt-br/empreendedor; </w:t>
      </w:r>
    </w:p>
    <w:p w14:paraId="4BE4032D"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Sociedade empresária, sociedade limitada unipessoal – SLU ou sociedade identificada como empresa individual de responsabilidade limitada - EIRELI:</w:t>
      </w:r>
      <w:r w:rsidRPr="00CB623E">
        <w:rPr>
          <w:rFonts w:ascii="Times New Roman" w:hAnsi="Times New Roman" w:cs="Times New Roman"/>
          <w:sz w:val="24"/>
          <w:szCs w:val="24"/>
          <w:lang w:eastAsia="en-US"/>
        </w:rPr>
        <w:t xml:space="preserve"> inscrição do ato constitutivo, estatuto ou contrato social no Registro Público de Empresas Mercantis, a cargo da Junta Comercial da respectiva sede, acompanhada de documento comprobatório de seus administradores;</w:t>
      </w:r>
    </w:p>
    <w:p w14:paraId="055AAA7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Sociedade empresária estrangeira:</w:t>
      </w:r>
      <w:r w:rsidRPr="00CB623E">
        <w:rPr>
          <w:rFonts w:ascii="Times New Roman" w:hAnsi="Times New Roman" w:cs="Times New Roman"/>
          <w:sz w:val="24"/>
          <w:szCs w:val="24"/>
          <w:lang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24A7E4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Sociedade simples:</w:t>
      </w:r>
      <w:r w:rsidRPr="00CB623E">
        <w:rPr>
          <w:rFonts w:ascii="Times New Roman" w:hAnsi="Times New Roman" w:cs="Times New Roman"/>
          <w:sz w:val="24"/>
          <w:szCs w:val="24"/>
          <w:lang w:eastAsia="en-US"/>
        </w:rPr>
        <w:t xml:space="preserve"> inscrição do ato constitutivo no Registro Civil de Pessoas Jurídicas do local de sua sede, acompanhada de documento comprobatório de seus administradores;</w:t>
      </w:r>
    </w:p>
    <w:p w14:paraId="7EDA7A7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Filial, sucursal ou agência de sociedade simples ou empresária:</w:t>
      </w:r>
      <w:r w:rsidRPr="00CB623E">
        <w:rPr>
          <w:rFonts w:ascii="Times New Roman" w:hAnsi="Times New Roman" w:cs="Times New Roman"/>
          <w:sz w:val="24"/>
          <w:szCs w:val="24"/>
          <w:lang w:eastAsia="en-US"/>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E986AC5"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b/>
          <w:sz w:val="24"/>
          <w:szCs w:val="24"/>
          <w:lang w:eastAsia="en-US"/>
        </w:rPr>
        <w:t>Sociedade cooperativa:</w:t>
      </w:r>
      <w:r w:rsidRPr="00CB623E">
        <w:rPr>
          <w:rFonts w:ascii="Times New Roman" w:hAnsi="Times New Roman" w:cs="Times New Roman"/>
          <w:sz w:val="24"/>
          <w:szCs w:val="24"/>
          <w:lang w:eastAsia="en-US"/>
        </w:rPr>
        <w:t xml:space="preserve"> ata de fundação e estatuto social, com a ata da assembleia que o aprovou, devidamente arquivado na Junta Comercial ou inscrito no Registro Civil das Pessoas </w:t>
      </w:r>
      <w:r w:rsidRPr="00CB623E">
        <w:rPr>
          <w:rFonts w:ascii="Times New Roman" w:hAnsi="Times New Roman" w:cs="Times New Roman"/>
          <w:sz w:val="24"/>
          <w:szCs w:val="24"/>
          <w:lang w:eastAsia="en-US"/>
        </w:rPr>
        <w:lastRenderedPageBreak/>
        <w:t>Jurídicas da respectiva sede, além do registro de que trata o art. 107 da Lei nº 5.764, de 16 de dezembro 1971;</w:t>
      </w:r>
    </w:p>
    <w:p w14:paraId="5844BBA4"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Caso admitida a participação de cooperativas, será exigida a seguinte documentação complementar;</w:t>
      </w:r>
    </w:p>
    <w:p w14:paraId="5FDF65A2"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84AD6A3"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A declaração de regularidade de situação do contribuinte individual – DRSCI, para cada um dos cooperados indicados;</w:t>
      </w:r>
    </w:p>
    <w:p w14:paraId="0A18FC71"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A comprovação do capital social proporcional ao número de cooperados necessários à prestação do serviço; </w:t>
      </w:r>
    </w:p>
    <w:p w14:paraId="7B992AA0"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registro previsto na Lei n. 5.764, de 1971, art. 107;</w:t>
      </w:r>
    </w:p>
    <w:p w14:paraId="3E054971"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 A comprovação de integração das respectivas quotas-partes por parte dos cooperados que executarão o contrato; e</w:t>
      </w:r>
    </w:p>
    <w:p w14:paraId="6BDF3DB4"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 Os seguintes documentos para a comprovação da regularidade jurídica da cooperativa: </w:t>
      </w:r>
    </w:p>
    <w:p w14:paraId="6E4F116F"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a) ata de fundação;</w:t>
      </w:r>
    </w:p>
    <w:p w14:paraId="6A5CB0A7"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b) estatuto social com a ata da assembleia que o aprovou;</w:t>
      </w:r>
    </w:p>
    <w:p w14:paraId="00F1F513"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 regimento dos fundos instituídos pelos cooperados, com a ata da assembleia;</w:t>
      </w:r>
    </w:p>
    <w:p w14:paraId="5D539DC9"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d) editais de convocação das três últimas assembleias gerais extraordinárias;</w:t>
      </w:r>
    </w:p>
    <w:p w14:paraId="6BD91796"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e) três registros de presença dos cooperados que executarão o contrato em assembleias gerais ou nas reuniões seccionais; e</w:t>
      </w:r>
    </w:p>
    <w:p w14:paraId="026ACC8F" w14:textId="77777777" w:rsidR="000011CD" w:rsidRPr="00CB623E" w:rsidRDefault="000011CD" w:rsidP="009A7B17">
      <w:pPr>
        <w:tabs>
          <w:tab w:val="left" w:pos="0"/>
        </w:tabs>
        <w:spacing w:after="0" w:line="360" w:lineRule="auto"/>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f) ata da sessão que os cooperados autorizaram a cooperativa a contratar o objeto da licitação;</w:t>
      </w:r>
    </w:p>
    <w:p w14:paraId="56362F30"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A última auditoria contábil-financeira da cooperativa, conforme dispõe o art. 112 da Lei n. 5.764, de 1971, ou uma declaração, sob as penas da lei, de que tal auditoria não foi exigida pelo órgão fiscalizador.</w:t>
      </w:r>
    </w:p>
    <w:p w14:paraId="2ED4C03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HABILITAÇÃO FISCAL, SOCIAL E TRABALHISTA</w:t>
      </w:r>
    </w:p>
    <w:p w14:paraId="32DF88A7"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Prova de inscrição no Cadastro Nacional de Pessoas Jurídicas ou no Cadastro de Pessoas Físicas, conforme o caso;</w:t>
      </w:r>
    </w:p>
    <w:p w14:paraId="448A33C0"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Pr="00CB623E">
        <w:rPr>
          <w:rFonts w:ascii="Times New Roman" w:hAnsi="Times New Roman" w:cs="Times New Roman"/>
          <w:sz w:val="24"/>
          <w:szCs w:val="24"/>
          <w:lang w:eastAsia="en-US"/>
        </w:rPr>
        <w:lastRenderedPageBreak/>
        <w:t>Seguridade Social, nos termos da Portaria Conjunta nº 1.751, de 02 de outubro de 2014, do Secretário da Receita Federal do Brasil e da Procuradora-Geral da Fazenda Nacional;</w:t>
      </w:r>
    </w:p>
    <w:p w14:paraId="04F038BA"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Prova de regularidade com o Fundo de Garantia do Tempo de Serviço (FGTS);</w:t>
      </w:r>
    </w:p>
    <w:p w14:paraId="0EBCE13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F196DF8"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Prova de inscrição no cadastro de contribuintes Estadual ou Municipal relativo ao domicílio ou sede do fornecedor, pertinente ao seu ramo de atividade e compatível com o objeto contratual; </w:t>
      </w:r>
    </w:p>
    <w:p w14:paraId="0D9CC59F"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Prova de regularidade com a Fazenda Estadual ou Municipal do domicílio ou sede do fornecedor, relativa à atividade em cujo exercício contrata ou concorre;</w:t>
      </w:r>
    </w:p>
    <w:p w14:paraId="5256286C"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4E5991E6"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376089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b/>
          <w:sz w:val="24"/>
          <w:szCs w:val="24"/>
          <w:u w:val="single"/>
          <w:lang w:eastAsia="en-US"/>
        </w:rPr>
      </w:pPr>
      <w:r w:rsidRPr="00CB623E">
        <w:rPr>
          <w:rFonts w:ascii="Times New Roman" w:hAnsi="Times New Roman" w:cs="Times New Roman"/>
          <w:b/>
          <w:sz w:val="24"/>
          <w:szCs w:val="24"/>
          <w:u w:val="single"/>
          <w:lang w:eastAsia="en-US"/>
        </w:rPr>
        <w:t>QUALIFICAÇÃO TÉCNICA</w:t>
      </w:r>
    </w:p>
    <w:p w14:paraId="72345B33" w14:textId="77777777" w:rsidR="000011CD" w:rsidRPr="00CB623E" w:rsidRDefault="000011CD" w:rsidP="00E40B30">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Comprovação de aptidão para o fornecimento de bens similares de complexidade tecnológica e operacional equivalente ou superior com o objeto desta contratação, ou com o item pertinente, por meio da apresentação de </w:t>
      </w:r>
      <w:r w:rsidRPr="00CB623E">
        <w:rPr>
          <w:rFonts w:ascii="Times New Roman" w:hAnsi="Times New Roman" w:cs="Times New Roman"/>
          <w:b/>
          <w:sz w:val="24"/>
          <w:szCs w:val="24"/>
          <w:lang w:eastAsia="en-US"/>
        </w:rPr>
        <w:t>CERTIDÃO OU ATESTADO DE CAPACIDADE TÉCNICA</w:t>
      </w:r>
      <w:r w:rsidRPr="00CB623E">
        <w:rPr>
          <w:rFonts w:ascii="Times New Roman" w:hAnsi="Times New Roman" w:cs="Times New Roman"/>
          <w:sz w:val="24"/>
          <w:szCs w:val="24"/>
          <w:lang w:eastAsia="en-US"/>
        </w:rPr>
        <w:t xml:space="preserve">, por pessoas jurídicas de direito público ou privado, ou regularmente emitido(s) pelo conselho profissional competente, quando for o caso, conforme Lei nº 14.133, art. 67; </w:t>
      </w:r>
    </w:p>
    <w:p w14:paraId="78CE3C39" w14:textId="7773081F" w:rsidR="00B26271" w:rsidRPr="00CB623E" w:rsidRDefault="00B26271" w:rsidP="00E40B30">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eastAsia="Times New Roman" w:hAnsi="Times New Roman" w:cs="Times New Roman"/>
          <w:sz w:val="24"/>
          <w:szCs w:val="24"/>
        </w:rPr>
        <w:t>O fornecedor disponibilizará todas as informações necessárias à comprovação da legitimidade dos atestados, apresentando, quando solicitado pela Administração, cópia do contrato que deu suporte à contratação, notas fiscais, endereço atual da contratante e local de execução do objeto, dentre outros documentos pertinentes.</w:t>
      </w:r>
    </w:p>
    <w:p w14:paraId="3CF42357" w14:textId="1DA105EC" w:rsidR="00B26271" w:rsidRPr="00CB623E" w:rsidRDefault="00B26271" w:rsidP="00E40B30">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 Os </w:t>
      </w:r>
      <w:r w:rsidRPr="00CB623E">
        <w:rPr>
          <w:rFonts w:ascii="Times New Roman" w:eastAsia="Times New Roman" w:hAnsi="Times New Roman" w:cs="Times New Roman"/>
          <w:sz w:val="24"/>
          <w:szCs w:val="24"/>
        </w:rPr>
        <w:t>atestados de capacidade técnica poderão ser apresentados em nome da matriz ou da filial do fornecedor.</w:t>
      </w:r>
    </w:p>
    <w:p w14:paraId="02ACE4CD" w14:textId="2ECCD984" w:rsidR="00B26271" w:rsidRPr="00CB623E" w:rsidRDefault="00B26271" w:rsidP="00E40B30">
      <w:pPr>
        <w:numPr>
          <w:ilvl w:val="2"/>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Para </w:t>
      </w:r>
      <w:r w:rsidRPr="00CB623E">
        <w:rPr>
          <w:rFonts w:ascii="Times New Roman" w:eastAsia="Times New Roman" w:hAnsi="Times New Roman" w:cs="Times New Roman"/>
        </w:rPr>
        <w:t xml:space="preserve">fins </w:t>
      </w:r>
      <w:r w:rsidRPr="00CB623E">
        <w:rPr>
          <w:rFonts w:ascii="Times New Roman" w:eastAsia="Times New Roman" w:hAnsi="Times New Roman" w:cs="Times New Roman"/>
          <w:sz w:val="24"/>
          <w:szCs w:val="24"/>
        </w:rPr>
        <w:t xml:space="preserve">de comprovação da qualificação técnico-operacional, foram considerados como parcelas de maior relevância técnica e operacional os itens que concentram maior </w:t>
      </w:r>
      <w:r w:rsidRPr="00CB623E">
        <w:rPr>
          <w:rFonts w:ascii="Times New Roman" w:eastAsia="Times New Roman" w:hAnsi="Times New Roman" w:cs="Times New Roman"/>
          <w:sz w:val="24"/>
          <w:szCs w:val="24"/>
        </w:rPr>
        <w:lastRenderedPageBreak/>
        <w:t>representatividade econômica e maior impacto na continuidade dos serviços públicos municipais, especialmente:</w:t>
      </w:r>
    </w:p>
    <w:p w14:paraId="5ED0FC38" w14:textId="77777777" w:rsidR="00B26271" w:rsidRPr="00CB623E" w:rsidRDefault="00B26271" w:rsidP="00E40B30">
      <w:pPr>
        <w:tabs>
          <w:tab w:val="left" w:pos="398"/>
        </w:tabs>
        <w:spacing w:after="0" w:line="360" w:lineRule="auto"/>
        <w:ind w:right="248"/>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 xml:space="preserve">a) </w:t>
      </w:r>
      <w:r w:rsidRPr="00CB623E">
        <w:rPr>
          <w:rFonts w:ascii="Times New Roman" w:eastAsia="Times New Roman" w:hAnsi="Times New Roman" w:cs="Times New Roman"/>
          <w:b/>
          <w:bCs/>
          <w:sz w:val="24"/>
          <w:szCs w:val="24"/>
        </w:rPr>
        <w:t>Item 1</w:t>
      </w:r>
      <w:r w:rsidRPr="00CB623E">
        <w:rPr>
          <w:rFonts w:ascii="Times New Roman" w:eastAsia="Times New Roman" w:hAnsi="Times New Roman" w:cs="Times New Roman"/>
          <w:sz w:val="24"/>
          <w:szCs w:val="24"/>
        </w:rPr>
        <w:t xml:space="preserve"> – Recarga de Botijão de Gás Liquefeito de Petróleo (GLP) - 45 kg.</w:t>
      </w:r>
    </w:p>
    <w:p w14:paraId="1268CE4F" w14:textId="77777777" w:rsidR="00B26271" w:rsidRPr="00CB623E" w:rsidRDefault="00B26271"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 xml:space="preserve">b) </w:t>
      </w:r>
      <w:r w:rsidRPr="00CB623E">
        <w:rPr>
          <w:rFonts w:ascii="Times New Roman" w:eastAsia="Times New Roman" w:hAnsi="Times New Roman" w:cs="Times New Roman"/>
          <w:b/>
          <w:bCs/>
          <w:sz w:val="24"/>
          <w:szCs w:val="24"/>
        </w:rPr>
        <w:t>Item 4</w:t>
      </w:r>
      <w:r w:rsidRPr="00CB623E">
        <w:rPr>
          <w:rFonts w:ascii="Times New Roman" w:eastAsia="Times New Roman" w:hAnsi="Times New Roman" w:cs="Times New Roman"/>
          <w:sz w:val="24"/>
          <w:szCs w:val="24"/>
        </w:rPr>
        <w:t xml:space="preserve"> – Recarga de Botijão de Gás Liquefeito de Petróleo (GLP) - 13 kg.</w:t>
      </w:r>
    </w:p>
    <w:p w14:paraId="0CB11EDE" w14:textId="267572D8" w:rsidR="00B26271" w:rsidRPr="00CB623E" w:rsidRDefault="00B26271"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8.16.4.1.</w:t>
      </w:r>
      <w:r w:rsidRPr="00CB623E">
        <w:rPr>
          <w:rFonts w:ascii="Times New Roman" w:eastAsia="Times New Roman" w:hAnsi="Times New Roman" w:cs="Times New Roman"/>
          <w:sz w:val="24"/>
          <w:szCs w:val="24"/>
        </w:rPr>
        <w:t xml:space="preserve"> A definição das parcelas de maior relevância observou os critérios previstos no art. 67 da Lei Federal nº 14.133/2021, considerando a representatividade econômica dos itens, a criticidade operacional dos materiais envolvidos, o impacto direto na continuidade dos serviços públicos essenciais e a necessidade de demonstração mínima de capacidade logística e operacional compatível com a execução contratual pretendida.</w:t>
      </w:r>
    </w:p>
    <w:p w14:paraId="2187D84D" w14:textId="520CCF4B" w:rsidR="00B26271" w:rsidRPr="00CB623E" w:rsidRDefault="00B26271"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8.16.4.2</w:t>
      </w:r>
      <w:r w:rsidRPr="00CB623E">
        <w:rPr>
          <w:rFonts w:ascii="Times New Roman" w:eastAsia="Times New Roman" w:hAnsi="Times New Roman" w:cs="Times New Roman"/>
          <w:sz w:val="24"/>
          <w:szCs w:val="24"/>
        </w:rPr>
        <w:t xml:space="preserve">. Os </w:t>
      </w:r>
      <w:r w:rsidRPr="00CB623E">
        <w:rPr>
          <w:rFonts w:ascii="Times New Roman" w:eastAsia="Times New Roman" w:hAnsi="Times New Roman" w:cs="Times New Roman"/>
          <w:b/>
          <w:bCs/>
          <w:sz w:val="24"/>
          <w:szCs w:val="24"/>
        </w:rPr>
        <w:t>ITENS 1 e 4</w:t>
      </w:r>
      <w:r w:rsidRPr="00CB623E">
        <w:rPr>
          <w:rFonts w:ascii="Times New Roman" w:eastAsia="Times New Roman" w:hAnsi="Times New Roman" w:cs="Times New Roman"/>
          <w:sz w:val="24"/>
          <w:szCs w:val="24"/>
        </w:rPr>
        <w:t xml:space="preserve"> foram definidos como parcelas de maior relevância em razão de sua elevada representatividade econômica dentro da contratação, concentrando parcela significativa do valor estimado do certame e demandando das futuras contratadas capacidade operacional, logística e financeira compatível com o volume de fornecimento pretendido pela Administração Pública.</w:t>
      </w:r>
    </w:p>
    <w:p w14:paraId="74E494FC" w14:textId="0AB8CC82" w:rsidR="00B26271" w:rsidRPr="00CB623E" w:rsidRDefault="00B26271"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8.16.4.3</w:t>
      </w:r>
      <w:r w:rsidRPr="00CB623E">
        <w:rPr>
          <w:rFonts w:ascii="Times New Roman" w:eastAsia="Times New Roman" w:hAnsi="Times New Roman" w:cs="Times New Roman"/>
          <w:sz w:val="24"/>
          <w:szCs w:val="24"/>
        </w:rPr>
        <w:t>. A exigência prevista neste Edital possui caráter estritamente preventivo e assecuratório, destinando-se exclusivamente à verificação da capacidade mínima de execução contratual das licitantes, observando-se os princípios da razoabilidade, proporcionalidade, eficiência, interesse público e ampla competitividade previstos no art. 5º da Lei Federal nº 14.133/2021.</w:t>
      </w:r>
    </w:p>
    <w:p w14:paraId="53BC3F33" w14:textId="77777777" w:rsidR="00852E36" w:rsidRPr="00CB623E" w:rsidRDefault="00852E36"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8.16.4.4.</w:t>
      </w:r>
      <w:r w:rsidRPr="00CB623E">
        <w:rPr>
          <w:rFonts w:ascii="Times New Roman" w:eastAsia="Times New Roman" w:hAnsi="Times New Roman" w:cs="Times New Roman"/>
          <w:sz w:val="24"/>
          <w:szCs w:val="24"/>
        </w:rPr>
        <w:t xml:space="preserve"> Para os itens definidos como parcelas de maior relevância, a licitante deverá apresentar atestado(s) de capacidade técnica emitido(s) por pessoa jurídica de direito público ou privado, comprovando fornecimento anterior compatível com o item disputado, em características e complexidade operacional semelhantes ao objeto licitado, admitido o somatório de atestados.</w:t>
      </w:r>
    </w:p>
    <w:p w14:paraId="2B299B45" w14:textId="77777777" w:rsidR="00852E36" w:rsidRPr="00CB623E" w:rsidRDefault="00852E36"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8.16.5</w:t>
      </w:r>
      <w:r w:rsidRPr="00CB623E">
        <w:rPr>
          <w:rFonts w:ascii="Times New Roman" w:eastAsia="Times New Roman" w:hAnsi="Times New Roman" w:cs="Times New Roman"/>
          <w:sz w:val="24"/>
          <w:szCs w:val="24"/>
        </w:rPr>
        <w:t xml:space="preserve">. </w:t>
      </w:r>
      <w:r w:rsidRPr="00CB623E">
        <w:rPr>
          <w:rFonts w:ascii="Times New Roman" w:eastAsia="Times New Roman" w:hAnsi="Times New Roman" w:cs="Times New Roman"/>
          <w:b/>
          <w:bCs/>
          <w:sz w:val="24"/>
          <w:szCs w:val="24"/>
        </w:rPr>
        <w:t>A comprovação da capacidade técnico-operacional</w:t>
      </w:r>
      <w:r w:rsidRPr="00CB623E">
        <w:rPr>
          <w:rFonts w:ascii="Times New Roman" w:eastAsia="Times New Roman" w:hAnsi="Times New Roman" w:cs="Times New Roman"/>
          <w:sz w:val="24"/>
          <w:szCs w:val="24"/>
        </w:rPr>
        <w:t xml:space="preserve"> prevista no item anterior deverá corresponder no mínimo:</w:t>
      </w:r>
    </w:p>
    <w:p w14:paraId="76367E1B" w14:textId="77777777" w:rsidR="00852E36" w:rsidRPr="00CB623E" w:rsidRDefault="00852E36"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 xml:space="preserve">a) </w:t>
      </w:r>
      <w:r w:rsidRPr="00CB623E">
        <w:rPr>
          <w:rFonts w:ascii="Times New Roman" w:eastAsia="Times New Roman" w:hAnsi="Times New Roman" w:cs="Times New Roman"/>
          <w:b/>
          <w:bCs/>
          <w:sz w:val="24"/>
          <w:szCs w:val="24"/>
        </w:rPr>
        <w:t>50% (cinquenta por cento)</w:t>
      </w:r>
      <w:r w:rsidRPr="00CB623E">
        <w:rPr>
          <w:rFonts w:ascii="Times New Roman" w:eastAsia="Times New Roman" w:hAnsi="Times New Roman" w:cs="Times New Roman"/>
          <w:sz w:val="24"/>
          <w:szCs w:val="24"/>
        </w:rPr>
        <w:t xml:space="preserve"> do valor estimado do respectivo item considerado como parcela de maior relevância; ou</w:t>
      </w:r>
    </w:p>
    <w:p w14:paraId="2390BC0F" w14:textId="77777777" w:rsidR="00852E36" w:rsidRPr="00CB623E" w:rsidRDefault="00852E36"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sz w:val="24"/>
          <w:szCs w:val="24"/>
        </w:rPr>
        <w:t>b) quantitativos equivalentes aos itens de maior representatividade econômica do respectivo item.</w:t>
      </w:r>
    </w:p>
    <w:p w14:paraId="3DE42780" w14:textId="780050E2" w:rsidR="00852E36" w:rsidRPr="00CB623E" w:rsidRDefault="00852E36" w:rsidP="00E40B30">
      <w:pPr>
        <w:tabs>
          <w:tab w:val="left" w:pos="398"/>
        </w:tabs>
        <w:spacing w:after="0" w:line="360" w:lineRule="auto"/>
        <w:ind w:right="249"/>
        <w:rPr>
          <w:rFonts w:ascii="Times New Roman" w:eastAsia="Times New Roman" w:hAnsi="Times New Roman" w:cs="Times New Roman"/>
          <w:sz w:val="24"/>
          <w:szCs w:val="24"/>
        </w:rPr>
      </w:pPr>
      <w:r w:rsidRPr="00CB623E">
        <w:rPr>
          <w:rFonts w:ascii="Times New Roman" w:eastAsia="Times New Roman" w:hAnsi="Times New Roman" w:cs="Times New Roman"/>
          <w:b/>
          <w:bCs/>
          <w:sz w:val="24"/>
          <w:szCs w:val="24"/>
        </w:rPr>
        <w:t>8.16.6.</w:t>
      </w:r>
      <w:r w:rsidRPr="00CB623E">
        <w:rPr>
          <w:rFonts w:ascii="Times New Roman" w:eastAsia="Times New Roman" w:hAnsi="Times New Roman" w:cs="Times New Roman"/>
          <w:sz w:val="24"/>
          <w:szCs w:val="24"/>
        </w:rPr>
        <w:t xml:space="preserve"> Será admitido o somatório de atestados para fins de comprovação da capacidade técnico-operacional, desde que demonstrada, de forma objetiva, a efetiva capacidade operacional da licitante para execução do objeto em condições compatíveis com a complexidade, volume, logística e características da contratação pretendida.</w:t>
      </w:r>
    </w:p>
    <w:p w14:paraId="14A109CE" w14:textId="6A02BD2E" w:rsidR="00852E36" w:rsidRPr="00CB623E" w:rsidRDefault="00852E36" w:rsidP="00E40B30">
      <w:pPr>
        <w:tabs>
          <w:tab w:val="left" w:pos="398"/>
        </w:tabs>
        <w:spacing w:after="0" w:line="360" w:lineRule="auto"/>
        <w:ind w:right="249"/>
        <w:rPr>
          <w:rFonts w:ascii="Times New Roman" w:hAnsi="Times New Roman" w:cs="Times New Roman"/>
          <w:sz w:val="24"/>
          <w:szCs w:val="24"/>
        </w:rPr>
      </w:pPr>
      <w:r w:rsidRPr="00CB623E">
        <w:rPr>
          <w:rFonts w:ascii="Times New Roman" w:eastAsia="Times New Roman" w:hAnsi="Times New Roman" w:cs="Times New Roman"/>
          <w:b/>
          <w:bCs/>
          <w:sz w:val="24"/>
          <w:szCs w:val="24"/>
        </w:rPr>
        <w:lastRenderedPageBreak/>
        <w:t>8.16.7.</w:t>
      </w:r>
      <w:r w:rsidRPr="00CB623E">
        <w:rPr>
          <w:rFonts w:ascii="Times New Roman" w:eastAsia="Times New Roman" w:hAnsi="Times New Roman" w:cs="Times New Roman"/>
          <w:sz w:val="24"/>
          <w:szCs w:val="24"/>
        </w:rPr>
        <w:t xml:space="preserve">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CB623E">
        <w:rPr>
          <w:rFonts w:ascii="Times New Roman" w:hAnsi="Times New Roman" w:cs="Times New Roman"/>
          <w:sz w:val="24"/>
          <w:szCs w:val="24"/>
        </w:rPr>
        <w:t>.</w:t>
      </w:r>
    </w:p>
    <w:p w14:paraId="3EF987B2" w14:textId="3A206DFA" w:rsidR="00852E36" w:rsidRPr="00CB623E" w:rsidRDefault="00852E36" w:rsidP="00E40B30">
      <w:pPr>
        <w:tabs>
          <w:tab w:val="left" w:pos="398"/>
        </w:tabs>
        <w:spacing w:after="0" w:line="360" w:lineRule="auto"/>
        <w:ind w:right="249"/>
        <w:rPr>
          <w:rFonts w:ascii="Times New Roman" w:hAnsi="Times New Roman" w:cs="Times New Roman"/>
          <w:sz w:val="24"/>
          <w:szCs w:val="24"/>
        </w:rPr>
      </w:pPr>
      <w:r w:rsidRPr="00CB623E">
        <w:rPr>
          <w:rFonts w:ascii="Times New Roman" w:hAnsi="Times New Roman" w:cs="Times New Roman"/>
          <w:b/>
          <w:bCs/>
          <w:sz w:val="24"/>
          <w:szCs w:val="24"/>
        </w:rPr>
        <w:t>8.16.8</w:t>
      </w:r>
      <w:r w:rsidRPr="00CB623E">
        <w:rPr>
          <w:rFonts w:ascii="Times New Roman" w:hAnsi="Times New Roman" w:cs="Times New Roman"/>
          <w:sz w:val="24"/>
          <w:szCs w:val="24"/>
        </w:rPr>
        <w:t>. Deverá ser apresentado no momento do credenciamento, Certificado de Autorização de Ponto de Revenda de GLP Outorgada pela AGÊNCIA NACIONAL DO PETRÓLEO, GÁS NATURAL E BIOCOMBUSTÍVEIS - ANP, nos termos da Resolução ANP Nº 51, de 30.11.2016”, sob pena de inabilitação para participação das fases seguintes do certame.</w:t>
      </w:r>
    </w:p>
    <w:p w14:paraId="049A8732" w14:textId="77777777" w:rsidR="00E40B30" w:rsidRPr="00CB623E" w:rsidRDefault="00E40B30" w:rsidP="00E40B30">
      <w:pPr>
        <w:tabs>
          <w:tab w:val="left" w:pos="398"/>
        </w:tabs>
        <w:spacing w:after="0" w:line="240" w:lineRule="auto"/>
        <w:ind w:right="249"/>
        <w:rPr>
          <w:rFonts w:ascii="Times New Roman" w:eastAsia="Times New Roman" w:hAnsi="Times New Roman" w:cs="Times New Roman"/>
          <w:sz w:val="16"/>
          <w:szCs w:val="16"/>
        </w:rPr>
      </w:pPr>
    </w:p>
    <w:p w14:paraId="15C732E7" w14:textId="77777777" w:rsidR="000011CD" w:rsidRPr="00CB623E" w:rsidRDefault="000011CD" w:rsidP="00047003">
      <w:pPr>
        <w:numPr>
          <w:ilvl w:val="0"/>
          <w:numId w:val="48"/>
        </w:numPr>
        <w:tabs>
          <w:tab w:val="left" w:pos="0"/>
        </w:tabs>
        <w:spacing w:after="0" w:line="360" w:lineRule="auto"/>
        <w:ind w:left="0" w:firstLine="0"/>
        <w:contextualSpacing/>
        <w:rPr>
          <w:rFonts w:ascii="Times New Roman" w:eastAsia="Arial" w:hAnsi="Times New Roman" w:cs="Times New Roman"/>
          <w:b/>
          <w:sz w:val="24"/>
          <w:szCs w:val="24"/>
          <w:u w:val="single"/>
          <w:lang w:eastAsia="en-US"/>
        </w:rPr>
      </w:pPr>
      <w:r w:rsidRPr="00CB623E">
        <w:rPr>
          <w:rFonts w:ascii="Times New Roman" w:eastAsia="Arial" w:hAnsi="Times New Roman" w:cs="Times New Roman"/>
          <w:b/>
          <w:sz w:val="24"/>
          <w:szCs w:val="24"/>
          <w:u w:val="single"/>
          <w:lang w:eastAsia="en-US"/>
        </w:rPr>
        <w:t>ESTIMATIVA DO VALOR DA CONTRATAÇÃO</w:t>
      </w:r>
    </w:p>
    <w:p w14:paraId="600A0EC6" w14:textId="4B028B9E" w:rsidR="00287E5B" w:rsidRPr="00CB623E" w:rsidRDefault="00287E5B" w:rsidP="00047003">
      <w:pPr>
        <w:pStyle w:val="PargrafodaLista"/>
        <w:widowControl w:val="0"/>
        <w:numPr>
          <w:ilvl w:val="1"/>
          <w:numId w:val="48"/>
        </w:numPr>
        <w:tabs>
          <w:tab w:val="left" w:pos="0"/>
        </w:tabs>
        <w:autoSpaceDE w:val="0"/>
        <w:autoSpaceDN w:val="0"/>
        <w:spacing w:after="0" w:line="360" w:lineRule="auto"/>
        <w:ind w:left="0" w:firstLine="0"/>
        <w:contextualSpacing w:val="0"/>
        <w:rPr>
          <w:rFonts w:ascii="Times New Roman" w:eastAsia="Times New Roman" w:hAnsi="Times New Roman" w:cs="Times New Roman"/>
          <w:b/>
          <w:bCs/>
          <w:color w:val="000000"/>
          <w:sz w:val="24"/>
          <w:szCs w:val="24"/>
        </w:rPr>
      </w:pPr>
      <w:bookmarkStart w:id="2" w:name="_Hlk160703629"/>
      <w:r w:rsidRPr="00CB623E">
        <w:rPr>
          <w:rFonts w:ascii="Times New Roman" w:hAnsi="Times New Roman" w:cs="Times New Roman"/>
          <w:spacing w:val="-3"/>
          <w:sz w:val="24"/>
          <w:szCs w:val="24"/>
        </w:rPr>
        <w:t xml:space="preserve">O preço estimado pela Administração para a </w:t>
      </w:r>
      <w:r w:rsidRPr="00CB623E">
        <w:rPr>
          <w:rFonts w:ascii="Times New Roman" w:hAnsi="Times New Roman" w:cs="Times New Roman"/>
          <w:b/>
          <w:bCs/>
          <w:spacing w:val="-3"/>
          <w:sz w:val="24"/>
          <w:szCs w:val="24"/>
        </w:rPr>
        <w:t>AQUISIÇÃO</w:t>
      </w:r>
      <w:r w:rsidRPr="00CB623E">
        <w:rPr>
          <w:rFonts w:ascii="Times New Roman" w:hAnsi="Times New Roman" w:cs="Times New Roman"/>
          <w:spacing w:val="-3"/>
          <w:sz w:val="24"/>
          <w:szCs w:val="24"/>
        </w:rPr>
        <w:t xml:space="preserve"> do objeto deste Pregão é de                           </w:t>
      </w:r>
      <w:r w:rsidRPr="00CB623E">
        <w:rPr>
          <w:rFonts w:ascii="Times New Roman" w:hAnsi="Times New Roman" w:cs="Times New Roman"/>
          <w:b/>
          <w:bCs/>
          <w:spacing w:val="-3"/>
          <w:sz w:val="24"/>
          <w:szCs w:val="24"/>
        </w:rPr>
        <w:t xml:space="preserve">R$ </w:t>
      </w:r>
      <w:r w:rsidRPr="00CB623E">
        <w:rPr>
          <w:rFonts w:ascii="Times New Roman" w:eastAsia="Times New Roman" w:hAnsi="Times New Roman" w:cs="Times New Roman"/>
          <w:b/>
          <w:bCs/>
          <w:color w:val="000000"/>
          <w:sz w:val="24"/>
          <w:szCs w:val="24"/>
        </w:rPr>
        <w:t xml:space="preserve">3.982.394,06 </w:t>
      </w:r>
      <w:r w:rsidRPr="00CB623E">
        <w:rPr>
          <w:rFonts w:ascii="Times New Roman" w:hAnsi="Times New Roman" w:cs="Times New Roman"/>
          <w:b/>
          <w:bCs/>
          <w:spacing w:val="-3"/>
          <w:sz w:val="24"/>
          <w:szCs w:val="24"/>
        </w:rPr>
        <w:t xml:space="preserve">(três milhões novecentos e oitenta e dois mil trezentos e noventa e quatro reais e seis centavos </w:t>
      </w:r>
      <w:r w:rsidRPr="00CB623E">
        <w:rPr>
          <w:rFonts w:ascii="Times New Roman" w:hAnsi="Times New Roman" w:cs="Times New Roman"/>
          <w:spacing w:val="-3"/>
          <w:sz w:val="24"/>
          <w:szCs w:val="24"/>
        </w:rPr>
        <w:t>para o período de 12 (doze) meses, conforme os valores constantes do TERMO DE REFERÊNCIA – ANEXO II deste edital</w:t>
      </w:r>
      <w:bookmarkEnd w:id="2"/>
      <w:r w:rsidRPr="00CB623E">
        <w:rPr>
          <w:rFonts w:ascii="Times New Roman" w:hAnsi="Times New Roman" w:cs="Times New Roman"/>
          <w:spacing w:val="-3"/>
          <w:sz w:val="24"/>
          <w:szCs w:val="24"/>
        </w:rPr>
        <w:t xml:space="preserve">. </w:t>
      </w:r>
    </w:p>
    <w:tbl>
      <w:tblPr>
        <w:tblW w:w="9660" w:type="dxa"/>
        <w:tblCellMar>
          <w:left w:w="70" w:type="dxa"/>
          <w:right w:w="70" w:type="dxa"/>
        </w:tblCellMar>
        <w:tblLook w:val="04A0" w:firstRow="1" w:lastRow="0" w:firstColumn="1" w:lastColumn="0" w:noHBand="0" w:noVBand="1"/>
      </w:tblPr>
      <w:tblGrid>
        <w:gridCol w:w="621"/>
        <w:gridCol w:w="2336"/>
        <w:gridCol w:w="888"/>
        <w:gridCol w:w="836"/>
        <w:gridCol w:w="1258"/>
        <w:gridCol w:w="1485"/>
        <w:gridCol w:w="1151"/>
        <w:gridCol w:w="1059"/>
        <w:gridCol w:w="26"/>
      </w:tblGrid>
      <w:tr w:rsidR="00776D75" w:rsidRPr="00CB623E" w14:paraId="5BE9C9C0" w14:textId="77777777" w:rsidTr="009A7B17">
        <w:trPr>
          <w:gridAfter w:val="1"/>
          <w:wAfter w:w="26" w:type="dxa"/>
          <w:trHeight w:val="432"/>
        </w:trPr>
        <w:tc>
          <w:tcPr>
            <w:tcW w:w="9634" w:type="dxa"/>
            <w:gridSpan w:val="8"/>
            <w:tcBorders>
              <w:top w:val="single" w:sz="4" w:space="0" w:color="auto"/>
              <w:left w:val="single" w:sz="4" w:space="0" w:color="auto"/>
              <w:bottom w:val="single" w:sz="4" w:space="0" w:color="auto"/>
              <w:right w:val="single" w:sz="4" w:space="0" w:color="auto"/>
            </w:tcBorders>
            <w:shd w:val="clear" w:color="000000" w:fill="BFBFBF"/>
            <w:vAlign w:val="center"/>
            <w:hideMark/>
          </w:tcPr>
          <w:p w14:paraId="012DFA59"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CONTRATAÇÃO DE EMPRESA PARA FORNECIMENTO E RECARGA DE GÁS GLP (BOTIJÕES DE 13 KG E P45</w:t>
            </w:r>
          </w:p>
        </w:tc>
      </w:tr>
      <w:tr w:rsidR="00776D75" w:rsidRPr="00CB623E" w14:paraId="21DE9078" w14:textId="77777777" w:rsidTr="00CB32F8">
        <w:trPr>
          <w:gridAfter w:val="1"/>
          <w:wAfter w:w="26" w:type="dxa"/>
          <w:trHeight w:val="454"/>
        </w:trPr>
        <w:tc>
          <w:tcPr>
            <w:tcW w:w="621"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3296CC88" w14:textId="1D85785E"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ITEM</w:t>
            </w:r>
          </w:p>
        </w:tc>
        <w:tc>
          <w:tcPr>
            <w:tcW w:w="2336" w:type="dxa"/>
            <w:tcBorders>
              <w:top w:val="single" w:sz="4" w:space="0" w:color="auto"/>
              <w:left w:val="nil"/>
              <w:bottom w:val="single" w:sz="4" w:space="0" w:color="auto"/>
              <w:right w:val="single" w:sz="4" w:space="0" w:color="auto"/>
            </w:tcBorders>
            <w:shd w:val="clear" w:color="000000" w:fill="C4BD97"/>
            <w:vAlign w:val="center"/>
            <w:hideMark/>
          </w:tcPr>
          <w:p w14:paraId="5E3143EA"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15. DESCRIÇÃO</w:t>
            </w:r>
          </w:p>
        </w:tc>
        <w:tc>
          <w:tcPr>
            <w:tcW w:w="888" w:type="dxa"/>
            <w:tcBorders>
              <w:top w:val="single" w:sz="4" w:space="0" w:color="auto"/>
              <w:left w:val="nil"/>
              <w:bottom w:val="single" w:sz="4" w:space="0" w:color="auto"/>
              <w:right w:val="single" w:sz="4" w:space="0" w:color="auto"/>
            </w:tcBorders>
            <w:shd w:val="clear" w:color="000000" w:fill="C4BD97"/>
            <w:vAlign w:val="center"/>
            <w:hideMark/>
          </w:tcPr>
          <w:p w14:paraId="23073EED"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QUANT.  </w:t>
            </w:r>
          </w:p>
        </w:tc>
        <w:tc>
          <w:tcPr>
            <w:tcW w:w="836" w:type="dxa"/>
            <w:tcBorders>
              <w:top w:val="single" w:sz="4" w:space="0" w:color="auto"/>
              <w:left w:val="nil"/>
              <w:bottom w:val="single" w:sz="4" w:space="0" w:color="auto"/>
              <w:right w:val="single" w:sz="4" w:space="0" w:color="auto"/>
            </w:tcBorders>
            <w:shd w:val="clear" w:color="000000" w:fill="C4BD97"/>
            <w:vAlign w:val="center"/>
            <w:hideMark/>
          </w:tcPr>
          <w:p w14:paraId="6805D88C"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UNID.</w:t>
            </w:r>
          </w:p>
        </w:tc>
        <w:tc>
          <w:tcPr>
            <w:tcW w:w="1258" w:type="dxa"/>
            <w:tcBorders>
              <w:top w:val="single" w:sz="4" w:space="0" w:color="auto"/>
              <w:left w:val="nil"/>
              <w:bottom w:val="single" w:sz="4" w:space="0" w:color="auto"/>
              <w:right w:val="single" w:sz="4" w:space="0" w:color="auto"/>
            </w:tcBorders>
            <w:shd w:val="clear" w:color="000000" w:fill="C4BD97"/>
            <w:vAlign w:val="center"/>
            <w:hideMark/>
          </w:tcPr>
          <w:p w14:paraId="43515384" w14:textId="246768F8"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 VALOR UNIT</w:t>
            </w:r>
          </w:p>
        </w:tc>
        <w:tc>
          <w:tcPr>
            <w:tcW w:w="3695" w:type="dxa"/>
            <w:gridSpan w:val="3"/>
            <w:tcBorders>
              <w:top w:val="single" w:sz="4" w:space="0" w:color="auto"/>
              <w:left w:val="nil"/>
              <w:bottom w:val="single" w:sz="4" w:space="0" w:color="auto"/>
              <w:right w:val="single" w:sz="4" w:space="0" w:color="auto"/>
            </w:tcBorders>
            <w:shd w:val="clear" w:color="000000" w:fill="C4BD97"/>
            <w:vAlign w:val="center"/>
            <w:hideMark/>
          </w:tcPr>
          <w:p w14:paraId="21FDD4EF"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VALORLTOTAL</w:t>
            </w:r>
          </w:p>
        </w:tc>
      </w:tr>
      <w:tr w:rsidR="00776D75" w:rsidRPr="00CB623E" w14:paraId="4BAF6E14" w14:textId="77777777" w:rsidTr="00CB32F8">
        <w:trPr>
          <w:gridAfter w:val="1"/>
          <w:wAfter w:w="26" w:type="dxa"/>
          <w:trHeight w:val="716"/>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7259158C"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sz w:val="18"/>
                <w:szCs w:val="18"/>
              </w:rPr>
            </w:pPr>
            <w:r w:rsidRPr="00CB623E">
              <w:rPr>
                <w:rFonts w:ascii="Times New Roman" w:eastAsia="Times New Roman" w:hAnsi="Times New Roman" w:cs="Times New Roman"/>
                <w:sz w:val="18"/>
                <w:szCs w:val="18"/>
              </w:rPr>
              <w:t>1</w:t>
            </w:r>
          </w:p>
        </w:tc>
        <w:tc>
          <w:tcPr>
            <w:tcW w:w="2336" w:type="dxa"/>
            <w:tcBorders>
              <w:top w:val="nil"/>
              <w:left w:val="nil"/>
              <w:bottom w:val="single" w:sz="4" w:space="0" w:color="auto"/>
              <w:right w:val="single" w:sz="4" w:space="0" w:color="auto"/>
            </w:tcBorders>
            <w:vAlign w:val="center"/>
            <w:hideMark/>
          </w:tcPr>
          <w:p w14:paraId="5E9C8069"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sz w:val="18"/>
                <w:szCs w:val="18"/>
              </w:rPr>
            </w:pPr>
            <w:r w:rsidRPr="00CB623E">
              <w:rPr>
                <w:rFonts w:ascii="Times New Roman" w:eastAsia="Times New Roman" w:hAnsi="Times New Roman" w:cs="Times New Roman"/>
                <w:b/>
                <w:bCs/>
                <w:sz w:val="18"/>
                <w:szCs w:val="18"/>
              </w:rPr>
              <w:t>Recarga de Botijão de Gás Liquefeito de Petróleo (GLP)</w:t>
            </w:r>
            <w:r w:rsidRPr="00CB623E">
              <w:rPr>
                <w:rFonts w:ascii="Times New Roman" w:eastAsia="Times New Roman" w:hAnsi="Times New Roman" w:cs="Times New Roman"/>
                <w:sz w:val="18"/>
                <w:szCs w:val="18"/>
              </w:rPr>
              <w:t xml:space="preserve"> - Chapa de aço, tipo gás propano - butano, botijão com capacidade de 45 kg.</w:t>
            </w:r>
          </w:p>
        </w:tc>
        <w:tc>
          <w:tcPr>
            <w:tcW w:w="888" w:type="dxa"/>
            <w:tcBorders>
              <w:top w:val="nil"/>
              <w:left w:val="nil"/>
              <w:bottom w:val="single" w:sz="4" w:space="0" w:color="auto"/>
              <w:right w:val="single" w:sz="4" w:space="0" w:color="auto"/>
            </w:tcBorders>
            <w:shd w:val="clear" w:color="000000" w:fill="FFFFFF"/>
            <w:vAlign w:val="center"/>
            <w:hideMark/>
          </w:tcPr>
          <w:p w14:paraId="34F7335B"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3.486</w:t>
            </w:r>
          </w:p>
        </w:tc>
        <w:tc>
          <w:tcPr>
            <w:tcW w:w="836" w:type="dxa"/>
            <w:tcBorders>
              <w:top w:val="nil"/>
              <w:left w:val="nil"/>
              <w:bottom w:val="single" w:sz="4" w:space="0" w:color="auto"/>
              <w:right w:val="single" w:sz="4" w:space="0" w:color="auto"/>
            </w:tcBorders>
            <w:vAlign w:val="center"/>
            <w:hideMark/>
          </w:tcPr>
          <w:p w14:paraId="0A7A0387"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UNID.</w:t>
            </w:r>
          </w:p>
        </w:tc>
        <w:tc>
          <w:tcPr>
            <w:tcW w:w="1258" w:type="dxa"/>
            <w:tcBorders>
              <w:top w:val="nil"/>
              <w:left w:val="nil"/>
              <w:bottom w:val="single" w:sz="4" w:space="0" w:color="auto"/>
              <w:right w:val="single" w:sz="4" w:space="0" w:color="auto"/>
            </w:tcBorders>
            <w:vAlign w:val="center"/>
            <w:hideMark/>
          </w:tcPr>
          <w:p w14:paraId="05E600E1"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R$ 438,73</w:t>
            </w:r>
          </w:p>
        </w:tc>
        <w:tc>
          <w:tcPr>
            <w:tcW w:w="3695" w:type="dxa"/>
            <w:gridSpan w:val="3"/>
            <w:tcBorders>
              <w:top w:val="single" w:sz="4" w:space="0" w:color="auto"/>
              <w:left w:val="nil"/>
              <w:bottom w:val="single" w:sz="4" w:space="0" w:color="auto"/>
              <w:right w:val="single" w:sz="4" w:space="0" w:color="auto"/>
            </w:tcBorders>
            <w:vAlign w:val="center"/>
            <w:hideMark/>
          </w:tcPr>
          <w:p w14:paraId="63BC5901" w14:textId="5890D72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1.529.412,78</w:t>
            </w:r>
          </w:p>
        </w:tc>
      </w:tr>
      <w:tr w:rsidR="00776D75" w:rsidRPr="00CB623E" w14:paraId="70F17924" w14:textId="77777777" w:rsidTr="00CB32F8">
        <w:trPr>
          <w:gridAfter w:val="1"/>
          <w:wAfter w:w="26" w:type="dxa"/>
          <w:trHeight w:val="716"/>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241ED2A1"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sz w:val="18"/>
                <w:szCs w:val="18"/>
              </w:rPr>
            </w:pPr>
            <w:r w:rsidRPr="00CB623E">
              <w:rPr>
                <w:rFonts w:ascii="Times New Roman" w:eastAsia="Times New Roman" w:hAnsi="Times New Roman" w:cs="Times New Roman"/>
                <w:sz w:val="18"/>
                <w:szCs w:val="18"/>
              </w:rPr>
              <w:t>2</w:t>
            </w:r>
          </w:p>
        </w:tc>
        <w:tc>
          <w:tcPr>
            <w:tcW w:w="2336" w:type="dxa"/>
            <w:tcBorders>
              <w:top w:val="nil"/>
              <w:left w:val="nil"/>
              <w:bottom w:val="single" w:sz="4" w:space="0" w:color="auto"/>
              <w:right w:val="single" w:sz="4" w:space="0" w:color="auto"/>
            </w:tcBorders>
            <w:vAlign w:val="center"/>
            <w:hideMark/>
          </w:tcPr>
          <w:p w14:paraId="4D832A67"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sz w:val="18"/>
                <w:szCs w:val="18"/>
              </w:rPr>
            </w:pPr>
            <w:r w:rsidRPr="00CB623E">
              <w:rPr>
                <w:rFonts w:ascii="Times New Roman" w:eastAsia="Times New Roman" w:hAnsi="Times New Roman" w:cs="Times New Roman"/>
                <w:b/>
                <w:bCs/>
                <w:sz w:val="18"/>
                <w:szCs w:val="18"/>
              </w:rPr>
              <w:t>Vasilhame de Botijão de Gás Liquefeito de Petróleo (GLP)</w:t>
            </w:r>
            <w:r w:rsidRPr="00CB623E">
              <w:rPr>
                <w:rFonts w:ascii="Times New Roman" w:eastAsia="Times New Roman" w:hAnsi="Times New Roman" w:cs="Times New Roman"/>
                <w:sz w:val="18"/>
                <w:szCs w:val="18"/>
              </w:rPr>
              <w:t xml:space="preserve"> - Chapa de aço, tipo gás propano - butano, botijão com capacidade de 13 kg.</w:t>
            </w:r>
          </w:p>
        </w:tc>
        <w:tc>
          <w:tcPr>
            <w:tcW w:w="888" w:type="dxa"/>
            <w:tcBorders>
              <w:top w:val="nil"/>
              <w:left w:val="nil"/>
              <w:bottom w:val="single" w:sz="4" w:space="0" w:color="auto"/>
              <w:right w:val="single" w:sz="4" w:space="0" w:color="auto"/>
            </w:tcBorders>
            <w:shd w:val="clear" w:color="000000" w:fill="FFFFFF"/>
            <w:vAlign w:val="center"/>
            <w:hideMark/>
          </w:tcPr>
          <w:p w14:paraId="3BFE88EF"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305</w:t>
            </w:r>
          </w:p>
        </w:tc>
        <w:tc>
          <w:tcPr>
            <w:tcW w:w="836" w:type="dxa"/>
            <w:tcBorders>
              <w:top w:val="nil"/>
              <w:left w:val="nil"/>
              <w:bottom w:val="single" w:sz="4" w:space="0" w:color="auto"/>
              <w:right w:val="single" w:sz="4" w:space="0" w:color="auto"/>
            </w:tcBorders>
            <w:vAlign w:val="center"/>
            <w:hideMark/>
          </w:tcPr>
          <w:p w14:paraId="2ED818A9"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UNID.</w:t>
            </w:r>
          </w:p>
        </w:tc>
        <w:tc>
          <w:tcPr>
            <w:tcW w:w="1258" w:type="dxa"/>
            <w:tcBorders>
              <w:top w:val="nil"/>
              <w:left w:val="nil"/>
              <w:bottom w:val="single" w:sz="4" w:space="0" w:color="auto"/>
              <w:right w:val="single" w:sz="4" w:space="0" w:color="auto"/>
            </w:tcBorders>
            <w:vAlign w:val="center"/>
            <w:hideMark/>
          </w:tcPr>
          <w:p w14:paraId="3336CB16"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R$ 156,92</w:t>
            </w:r>
          </w:p>
        </w:tc>
        <w:tc>
          <w:tcPr>
            <w:tcW w:w="3695" w:type="dxa"/>
            <w:gridSpan w:val="3"/>
            <w:tcBorders>
              <w:top w:val="single" w:sz="4" w:space="0" w:color="auto"/>
              <w:left w:val="nil"/>
              <w:bottom w:val="single" w:sz="4" w:space="0" w:color="auto"/>
              <w:right w:val="single" w:sz="4" w:space="0" w:color="auto"/>
            </w:tcBorders>
            <w:vAlign w:val="center"/>
            <w:hideMark/>
          </w:tcPr>
          <w:p w14:paraId="5819CD9A" w14:textId="1B77D7B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47.860,60</w:t>
            </w:r>
          </w:p>
        </w:tc>
      </w:tr>
      <w:tr w:rsidR="00776D75" w:rsidRPr="00CB623E" w14:paraId="338A0F1D" w14:textId="77777777" w:rsidTr="00CB32F8">
        <w:trPr>
          <w:gridAfter w:val="1"/>
          <w:wAfter w:w="26" w:type="dxa"/>
          <w:trHeight w:val="716"/>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7AC13F01"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sz w:val="18"/>
                <w:szCs w:val="18"/>
              </w:rPr>
            </w:pPr>
            <w:r w:rsidRPr="00CB623E">
              <w:rPr>
                <w:rFonts w:ascii="Times New Roman" w:eastAsia="Times New Roman" w:hAnsi="Times New Roman" w:cs="Times New Roman"/>
                <w:sz w:val="18"/>
                <w:szCs w:val="18"/>
              </w:rPr>
              <w:t>3</w:t>
            </w:r>
          </w:p>
        </w:tc>
        <w:tc>
          <w:tcPr>
            <w:tcW w:w="2336" w:type="dxa"/>
            <w:tcBorders>
              <w:top w:val="nil"/>
              <w:left w:val="nil"/>
              <w:bottom w:val="single" w:sz="4" w:space="0" w:color="auto"/>
              <w:right w:val="single" w:sz="4" w:space="0" w:color="auto"/>
            </w:tcBorders>
            <w:vAlign w:val="center"/>
            <w:hideMark/>
          </w:tcPr>
          <w:p w14:paraId="629AFCFA"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sz w:val="18"/>
                <w:szCs w:val="18"/>
              </w:rPr>
            </w:pPr>
            <w:r w:rsidRPr="00CB623E">
              <w:rPr>
                <w:rFonts w:ascii="Times New Roman" w:eastAsia="Times New Roman" w:hAnsi="Times New Roman" w:cs="Times New Roman"/>
                <w:b/>
                <w:bCs/>
                <w:sz w:val="18"/>
                <w:szCs w:val="18"/>
              </w:rPr>
              <w:t>Vasilhame de Botijão de Gás Liquefeito de Petróleo (GLP)</w:t>
            </w:r>
            <w:r w:rsidRPr="00CB623E">
              <w:rPr>
                <w:rFonts w:ascii="Times New Roman" w:eastAsia="Times New Roman" w:hAnsi="Times New Roman" w:cs="Times New Roman"/>
                <w:sz w:val="18"/>
                <w:szCs w:val="18"/>
              </w:rPr>
              <w:t xml:space="preserve"> - Chapa de aço, tipo gás propano - butano, botijão com capacidade de 45 kg.</w:t>
            </w:r>
          </w:p>
        </w:tc>
        <w:tc>
          <w:tcPr>
            <w:tcW w:w="888" w:type="dxa"/>
            <w:tcBorders>
              <w:top w:val="nil"/>
              <w:left w:val="nil"/>
              <w:bottom w:val="single" w:sz="4" w:space="0" w:color="auto"/>
              <w:right w:val="single" w:sz="4" w:space="0" w:color="auto"/>
            </w:tcBorders>
            <w:shd w:val="clear" w:color="000000" w:fill="FFFFFF"/>
            <w:vAlign w:val="center"/>
            <w:hideMark/>
          </w:tcPr>
          <w:p w14:paraId="6EE7E726"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74</w:t>
            </w:r>
          </w:p>
        </w:tc>
        <w:tc>
          <w:tcPr>
            <w:tcW w:w="836" w:type="dxa"/>
            <w:tcBorders>
              <w:top w:val="nil"/>
              <w:left w:val="nil"/>
              <w:bottom w:val="single" w:sz="4" w:space="0" w:color="auto"/>
              <w:right w:val="single" w:sz="4" w:space="0" w:color="auto"/>
            </w:tcBorders>
            <w:vAlign w:val="center"/>
            <w:hideMark/>
          </w:tcPr>
          <w:p w14:paraId="519B7EF6"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UNID.</w:t>
            </w:r>
          </w:p>
        </w:tc>
        <w:tc>
          <w:tcPr>
            <w:tcW w:w="1258" w:type="dxa"/>
            <w:tcBorders>
              <w:top w:val="nil"/>
              <w:left w:val="nil"/>
              <w:bottom w:val="single" w:sz="4" w:space="0" w:color="auto"/>
              <w:right w:val="single" w:sz="4" w:space="0" w:color="auto"/>
            </w:tcBorders>
            <w:vAlign w:val="center"/>
            <w:hideMark/>
          </w:tcPr>
          <w:p w14:paraId="55627B68"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R$ 615,01</w:t>
            </w:r>
          </w:p>
        </w:tc>
        <w:tc>
          <w:tcPr>
            <w:tcW w:w="3695" w:type="dxa"/>
            <w:gridSpan w:val="3"/>
            <w:tcBorders>
              <w:top w:val="single" w:sz="4" w:space="0" w:color="auto"/>
              <w:left w:val="nil"/>
              <w:bottom w:val="single" w:sz="4" w:space="0" w:color="auto"/>
              <w:right w:val="single" w:sz="4" w:space="0" w:color="auto"/>
            </w:tcBorders>
            <w:vAlign w:val="center"/>
            <w:hideMark/>
          </w:tcPr>
          <w:p w14:paraId="3E252F08" w14:textId="650B8E51"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45.510,74</w:t>
            </w:r>
          </w:p>
        </w:tc>
      </w:tr>
      <w:tr w:rsidR="00776D75" w:rsidRPr="00CB623E" w14:paraId="02EC8552" w14:textId="77777777" w:rsidTr="009A7B17">
        <w:trPr>
          <w:gridAfter w:val="1"/>
          <w:wAfter w:w="26" w:type="dxa"/>
          <w:trHeight w:val="313"/>
        </w:trPr>
        <w:tc>
          <w:tcPr>
            <w:tcW w:w="5939" w:type="dxa"/>
            <w:gridSpan w:val="5"/>
            <w:tcBorders>
              <w:top w:val="single" w:sz="4" w:space="0" w:color="auto"/>
              <w:left w:val="single" w:sz="4" w:space="0" w:color="auto"/>
              <w:bottom w:val="single" w:sz="4" w:space="0" w:color="auto"/>
              <w:right w:val="single" w:sz="4" w:space="0" w:color="000000"/>
            </w:tcBorders>
            <w:shd w:val="clear" w:color="000000" w:fill="C4BD97"/>
            <w:vAlign w:val="center"/>
            <w:hideMark/>
          </w:tcPr>
          <w:p w14:paraId="527290C5"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VALOR TOTAL </w:t>
            </w:r>
          </w:p>
        </w:tc>
        <w:tc>
          <w:tcPr>
            <w:tcW w:w="3695" w:type="dxa"/>
            <w:gridSpan w:val="3"/>
            <w:tcBorders>
              <w:top w:val="single" w:sz="4" w:space="0" w:color="auto"/>
              <w:left w:val="nil"/>
              <w:bottom w:val="single" w:sz="4" w:space="0" w:color="auto"/>
              <w:right w:val="single" w:sz="4" w:space="0" w:color="auto"/>
            </w:tcBorders>
            <w:shd w:val="clear" w:color="000000" w:fill="C4BD97"/>
            <w:vAlign w:val="center"/>
            <w:hideMark/>
          </w:tcPr>
          <w:p w14:paraId="1028A91D" w14:textId="373B984E"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 R$         1.622.784,12 </w:t>
            </w:r>
          </w:p>
        </w:tc>
      </w:tr>
      <w:tr w:rsidR="00CB32F8" w:rsidRPr="00CB623E" w14:paraId="6FC71D46" w14:textId="77777777" w:rsidTr="00CB32F8">
        <w:trPr>
          <w:trHeight w:val="1193"/>
        </w:trPr>
        <w:tc>
          <w:tcPr>
            <w:tcW w:w="621" w:type="dxa"/>
            <w:tcBorders>
              <w:top w:val="nil"/>
            </w:tcBorders>
            <w:vAlign w:val="center"/>
          </w:tcPr>
          <w:p w14:paraId="1024DB70"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2336" w:type="dxa"/>
            <w:tcBorders>
              <w:top w:val="nil"/>
            </w:tcBorders>
            <w:vAlign w:val="center"/>
          </w:tcPr>
          <w:p w14:paraId="71030EE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888" w:type="dxa"/>
            <w:tcBorders>
              <w:top w:val="nil"/>
            </w:tcBorders>
            <w:vAlign w:val="center"/>
          </w:tcPr>
          <w:p w14:paraId="1D5FD577"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836" w:type="dxa"/>
            <w:tcBorders>
              <w:top w:val="nil"/>
            </w:tcBorders>
            <w:vAlign w:val="center"/>
          </w:tcPr>
          <w:p w14:paraId="008D0163"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sz w:val="18"/>
                <w:szCs w:val="18"/>
              </w:rPr>
            </w:pPr>
          </w:p>
        </w:tc>
        <w:tc>
          <w:tcPr>
            <w:tcW w:w="1258" w:type="dxa"/>
            <w:tcBorders>
              <w:top w:val="nil"/>
            </w:tcBorders>
            <w:vAlign w:val="center"/>
          </w:tcPr>
          <w:p w14:paraId="3C7AED8F"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485" w:type="dxa"/>
            <w:tcBorders>
              <w:top w:val="nil"/>
            </w:tcBorders>
            <w:vAlign w:val="center"/>
          </w:tcPr>
          <w:p w14:paraId="52F86270"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151" w:type="dxa"/>
            <w:tcBorders>
              <w:top w:val="nil"/>
            </w:tcBorders>
            <w:vAlign w:val="center"/>
          </w:tcPr>
          <w:p w14:paraId="1DE53FAD"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085" w:type="dxa"/>
            <w:gridSpan w:val="2"/>
            <w:tcBorders>
              <w:top w:val="nil"/>
            </w:tcBorders>
            <w:vAlign w:val="center"/>
          </w:tcPr>
          <w:p w14:paraId="7EC8934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sz w:val="18"/>
                <w:szCs w:val="18"/>
              </w:rPr>
            </w:pPr>
          </w:p>
        </w:tc>
      </w:tr>
      <w:tr w:rsidR="00CB32F8" w:rsidRPr="00CB623E" w14:paraId="36A9CBF6" w14:textId="77777777" w:rsidTr="00CB32F8">
        <w:trPr>
          <w:trHeight w:val="1193"/>
        </w:trPr>
        <w:tc>
          <w:tcPr>
            <w:tcW w:w="621" w:type="dxa"/>
            <w:tcBorders>
              <w:top w:val="nil"/>
              <w:bottom w:val="single" w:sz="4" w:space="0" w:color="auto"/>
            </w:tcBorders>
            <w:vAlign w:val="center"/>
          </w:tcPr>
          <w:p w14:paraId="0131FEF3"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2336" w:type="dxa"/>
            <w:tcBorders>
              <w:top w:val="nil"/>
              <w:bottom w:val="single" w:sz="4" w:space="0" w:color="auto"/>
            </w:tcBorders>
            <w:vAlign w:val="center"/>
          </w:tcPr>
          <w:p w14:paraId="760E530B"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888" w:type="dxa"/>
            <w:tcBorders>
              <w:top w:val="nil"/>
              <w:bottom w:val="single" w:sz="4" w:space="0" w:color="auto"/>
            </w:tcBorders>
            <w:vAlign w:val="center"/>
          </w:tcPr>
          <w:p w14:paraId="1E94B1A1"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836" w:type="dxa"/>
            <w:tcBorders>
              <w:top w:val="nil"/>
              <w:bottom w:val="single" w:sz="4" w:space="0" w:color="auto"/>
            </w:tcBorders>
            <w:vAlign w:val="center"/>
          </w:tcPr>
          <w:p w14:paraId="496F2A6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sz w:val="18"/>
                <w:szCs w:val="18"/>
              </w:rPr>
            </w:pPr>
          </w:p>
        </w:tc>
        <w:tc>
          <w:tcPr>
            <w:tcW w:w="1258" w:type="dxa"/>
            <w:tcBorders>
              <w:top w:val="nil"/>
              <w:bottom w:val="single" w:sz="4" w:space="0" w:color="auto"/>
            </w:tcBorders>
            <w:vAlign w:val="center"/>
          </w:tcPr>
          <w:p w14:paraId="48BAA51B"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485" w:type="dxa"/>
            <w:tcBorders>
              <w:top w:val="nil"/>
              <w:bottom w:val="single" w:sz="4" w:space="0" w:color="auto"/>
            </w:tcBorders>
            <w:vAlign w:val="center"/>
          </w:tcPr>
          <w:p w14:paraId="3B5CE80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151" w:type="dxa"/>
            <w:tcBorders>
              <w:top w:val="nil"/>
              <w:bottom w:val="single" w:sz="4" w:space="0" w:color="auto"/>
            </w:tcBorders>
            <w:vAlign w:val="center"/>
          </w:tcPr>
          <w:p w14:paraId="763E51F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color w:val="000000"/>
                <w:sz w:val="18"/>
                <w:szCs w:val="18"/>
              </w:rPr>
            </w:pPr>
          </w:p>
        </w:tc>
        <w:tc>
          <w:tcPr>
            <w:tcW w:w="1085" w:type="dxa"/>
            <w:gridSpan w:val="2"/>
            <w:tcBorders>
              <w:top w:val="nil"/>
              <w:bottom w:val="single" w:sz="4" w:space="0" w:color="auto"/>
            </w:tcBorders>
            <w:vAlign w:val="center"/>
          </w:tcPr>
          <w:p w14:paraId="4FDB99D8" w14:textId="77777777" w:rsidR="00CB32F8" w:rsidRPr="00CB623E" w:rsidRDefault="00CB32F8" w:rsidP="009A7B17">
            <w:pPr>
              <w:tabs>
                <w:tab w:val="left" w:pos="0"/>
              </w:tabs>
              <w:spacing w:after="0" w:line="360" w:lineRule="auto"/>
              <w:jc w:val="center"/>
              <w:rPr>
                <w:rFonts w:ascii="Times New Roman" w:eastAsia="Times New Roman" w:hAnsi="Times New Roman" w:cs="Times New Roman"/>
                <w:b/>
                <w:bCs/>
                <w:sz w:val="18"/>
                <w:szCs w:val="18"/>
              </w:rPr>
            </w:pPr>
          </w:p>
        </w:tc>
      </w:tr>
      <w:tr w:rsidR="00776D75" w:rsidRPr="00CB623E" w14:paraId="56A1EF36" w14:textId="77777777" w:rsidTr="00CB32F8">
        <w:trPr>
          <w:trHeight w:val="1193"/>
        </w:trPr>
        <w:tc>
          <w:tcPr>
            <w:tcW w:w="621"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46C34EB7"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lastRenderedPageBreak/>
              <w:t>ITEM</w:t>
            </w:r>
          </w:p>
        </w:tc>
        <w:tc>
          <w:tcPr>
            <w:tcW w:w="2336"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4DAF979A"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DESCRIÇÃO</w:t>
            </w:r>
          </w:p>
        </w:tc>
        <w:tc>
          <w:tcPr>
            <w:tcW w:w="888"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6457C69C"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UNID.</w:t>
            </w:r>
          </w:p>
        </w:tc>
        <w:tc>
          <w:tcPr>
            <w:tcW w:w="836"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166B3C72"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QUANT.  </w:t>
            </w:r>
          </w:p>
        </w:tc>
        <w:tc>
          <w:tcPr>
            <w:tcW w:w="1258"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AFA98DD"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 xml:space="preserve">PREÇO MÉDIO REVENDA ANP (DUQUE DE CAXIAS) </w:t>
            </w:r>
          </w:p>
        </w:tc>
        <w:tc>
          <w:tcPr>
            <w:tcW w:w="1485"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6AC719A5" w14:textId="10A1AEEC"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 xml:space="preserve">MÉDIA REFERÊNCIA DO MAIOR DESCONTO SOBRE A TABELA DA </w:t>
            </w:r>
            <w:r w:rsidR="00A052F8" w:rsidRPr="00CB623E">
              <w:rPr>
                <w:rFonts w:ascii="Times New Roman" w:eastAsia="Times New Roman" w:hAnsi="Times New Roman" w:cs="Times New Roman"/>
                <w:b/>
                <w:bCs/>
                <w:color w:val="000000"/>
                <w:sz w:val="18"/>
                <w:szCs w:val="18"/>
              </w:rPr>
              <w:t>ANP %</w:t>
            </w:r>
          </w:p>
        </w:tc>
        <w:tc>
          <w:tcPr>
            <w:tcW w:w="1151"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732FB418"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VALOR COM DESCONTO</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C4BD97"/>
            <w:vAlign w:val="center"/>
            <w:hideMark/>
          </w:tcPr>
          <w:p w14:paraId="081CDEF4"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xml:space="preserve"> VALOR                     TOTAL  </w:t>
            </w:r>
          </w:p>
        </w:tc>
      </w:tr>
      <w:tr w:rsidR="00776D75" w:rsidRPr="00CB623E" w14:paraId="66A50F69" w14:textId="77777777" w:rsidTr="00CB32F8">
        <w:trPr>
          <w:trHeight w:val="701"/>
        </w:trPr>
        <w:tc>
          <w:tcPr>
            <w:tcW w:w="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62C9C7"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sz w:val="18"/>
                <w:szCs w:val="18"/>
              </w:rPr>
            </w:pPr>
            <w:r w:rsidRPr="00CB623E">
              <w:rPr>
                <w:rFonts w:ascii="Times New Roman" w:eastAsia="Times New Roman" w:hAnsi="Times New Roman" w:cs="Times New Roman"/>
                <w:sz w:val="18"/>
                <w:szCs w:val="18"/>
              </w:rPr>
              <w:t>4</w:t>
            </w:r>
          </w:p>
        </w:tc>
        <w:tc>
          <w:tcPr>
            <w:tcW w:w="2336" w:type="dxa"/>
            <w:tcBorders>
              <w:top w:val="single" w:sz="4" w:space="0" w:color="auto"/>
              <w:left w:val="nil"/>
              <w:bottom w:val="single" w:sz="4" w:space="0" w:color="auto"/>
              <w:right w:val="single" w:sz="4" w:space="0" w:color="auto"/>
            </w:tcBorders>
            <w:vAlign w:val="center"/>
            <w:hideMark/>
          </w:tcPr>
          <w:p w14:paraId="71E3A4FE"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 xml:space="preserve">Recarga de Botijão de Gás Liquefeito de Petróleo (GLP) - </w:t>
            </w:r>
            <w:r w:rsidRPr="00CB623E">
              <w:rPr>
                <w:rFonts w:ascii="Times New Roman" w:eastAsia="Times New Roman" w:hAnsi="Times New Roman" w:cs="Times New Roman"/>
                <w:color w:val="000000"/>
                <w:sz w:val="18"/>
                <w:szCs w:val="18"/>
              </w:rPr>
              <w:t>Chapa de aço, tipo gás propano - butano, botijão com capacidade de 13 kg.</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453D8BF9"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UNID.</w:t>
            </w:r>
          </w:p>
        </w:tc>
        <w:tc>
          <w:tcPr>
            <w:tcW w:w="836" w:type="dxa"/>
            <w:tcBorders>
              <w:top w:val="single" w:sz="4" w:space="0" w:color="auto"/>
              <w:left w:val="nil"/>
              <w:bottom w:val="single" w:sz="4" w:space="0" w:color="auto"/>
              <w:right w:val="single" w:sz="4" w:space="0" w:color="auto"/>
            </w:tcBorders>
            <w:vAlign w:val="center"/>
            <w:hideMark/>
          </w:tcPr>
          <w:p w14:paraId="652FB848"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color w:val="000000"/>
                <w:sz w:val="18"/>
                <w:szCs w:val="18"/>
              </w:rPr>
            </w:pPr>
            <w:r w:rsidRPr="00CB623E">
              <w:rPr>
                <w:rFonts w:ascii="Times New Roman" w:eastAsia="Times New Roman" w:hAnsi="Times New Roman" w:cs="Times New Roman"/>
                <w:color w:val="000000"/>
                <w:sz w:val="18"/>
                <w:szCs w:val="18"/>
              </w:rPr>
              <w:t>23.314</w:t>
            </w:r>
          </w:p>
        </w:tc>
        <w:tc>
          <w:tcPr>
            <w:tcW w:w="1258" w:type="dxa"/>
            <w:tcBorders>
              <w:top w:val="single" w:sz="4" w:space="0" w:color="auto"/>
              <w:left w:val="nil"/>
              <w:bottom w:val="single" w:sz="4" w:space="0" w:color="auto"/>
              <w:right w:val="single" w:sz="4" w:space="0" w:color="auto"/>
            </w:tcBorders>
            <w:shd w:val="clear" w:color="000000" w:fill="92D050"/>
            <w:vAlign w:val="center"/>
            <w:hideMark/>
          </w:tcPr>
          <w:p w14:paraId="72BD806A"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R$ 102,74</w:t>
            </w:r>
          </w:p>
        </w:tc>
        <w:tc>
          <w:tcPr>
            <w:tcW w:w="1485" w:type="dxa"/>
            <w:tcBorders>
              <w:top w:val="single" w:sz="4" w:space="0" w:color="auto"/>
              <w:left w:val="nil"/>
              <w:bottom w:val="single" w:sz="4" w:space="0" w:color="auto"/>
              <w:right w:val="single" w:sz="4" w:space="0" w:color="auto"/>
            </w:tcBorders>
            <w:vAlign w:val="center"/>
            <w:hideMark/>
          </w:tcPr>
          <w:p w14:paraId="6AF44FAD"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1,53</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14:paraId="39A192B7"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R$ 101,21</w:t>
            </w:r>
          </w:p>
        </w:tc>
        <w:tc>
          <w:tcPr>
            <w:tcW w:w="1085" w:type="dxa"/>
            <w:gridSpan w:val="2"/>
            <w:tcBorders>
              <w:top w:val="single" w:sz="4" w:space="0" w:color="auto"/>
              <w:left w:val="nil"/>
              <w:bottom w:val="single" w:sz="4" w:space="0" w:color="auto"/>
              <w:right w:val="single" w:sz="4" w:space="0" w:color="auto"/>
            </w:tcBorders>
            <w:noWrap/>
            <w:vAlign w:val="center"/>
            <w:hideMark/>
          </w:tcPr>
          <w:p w14:paraId="06863B7E" w14:textId="77777777" w:rsidR="00776D75" w:rsidRPr="00CB623E" w:rsidRDefault="00776D75" w:rsidP="009A7B17">
            <w:pPr>
              <w:tabs>
                <w:tab w:val="left" w:pos="0"/>
              </w:tabs>
              <w:spacing w:after="0" w:line="360" w:lineRule="auto"/>
              <w:jc w:val="center"/>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R$ 2.359.609,94</w:t>
            </w:r>
          </w:p>
        </w:tc>
      </w:tr>
      <w:tr w:rsidR="00776D75" w:rsidRPr="00CB623E" w14:paraId="2EE2FF10" w14:textId="77777777" w:rsidTr="009A7B17">
        <w:trPr>
          <w:trHeight w:val="313"/>
        </w:trPr>
        <w:tc>
          <w:tcPr>
            <w:tcW w:w="857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654D29A6"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VALOR TOTAL</w:t>
            </w:r>
          </w:p>
        </w:tc>
        <w:tc>
          <w:tcPr>
            <w:tcW w:w="1085" w:type="dxa"/>
            <w:gridSpan w:val="2"/>
            <w:tcBorders>
              <w:top w:val="nil"/>
              <w:left w:val="nil"/>
              <w:bottom w:val="single" w:sz="4" w:space="0" w:color="auto"/>
              <w:right w:val="single" w:sz="4" w:space="0" w:color="auto"/>
            </w:tcBorders>
            <w:shd w:val="clear" w:color="000000" w:fill="FFFFFF"/>
            <w:noWrap/>
            <w:vAlign w:val="bottom"/>
            <w:hideMark/>
          </w:tcPr>
          <w:p w14:paraId="5C43C4D5"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R$ 2.359.609,94</w:t>
            </w:r>
          </w:p>
        </w:tc>
      </w:tr>
      <w:tr w:rsidR="00776D75" w:rsidRPr="00CB623E" w14:paraId="1DB84983" w14:textId="77777777" w:rsidTr="009A7B17">
        <w:trPr>
          <w:trHeight w:val="313"/>
        </w:trPr>
        <w:tc>
          <w:tcPr>
            <w:tcW w:w="8575" w:type="dxa"/>
            <w:gridSpan w:val="7"/>
            <w:tcBorders>
              <w:top w:val="single" w:sz="4" w:space="0" w:color="auto"/>
              <w:left w:val="single" w:sz="4" w:space="0" w:color="auto"/>
              <w:bottom w:val="single" w:sz="4" w:space="0" w:color="auto"/>
              <w:right w:val="single" w:sz="4" w:space="0" w:color="auto"/>
            </w:tcBorders>
            <w:shd w:val="clear" w:color="000000" w:fill="C4BD97"/>
            <w:vAlign w:val="center"/>
            <w:hideMark/>
          </w:tcPr>
          <w:p w14:paraId="555FE0ED"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VALOR TOTAL 12 MESES</w:t>
            </w:r>
          </w:p>
        </w:tc>
        <w:tc>
          <w:tcPr>
            <w:tcW w:w="1085" w:type="dxa"/>
            <w:gridSpan w:val="2"/>
            <w:tcBorders>
              <w:top w:val="nil"/>
              <w:left w:val="nil"/>
              <w:bottom w:val="single" w:sz="4" w:space="0" w:color="auto"/>
              <w:right w:val="single" w:sz="4" w:space="0" w:color="auto"/>
            </w:tcBorders>
            <w:shd w:val="clear" w:color="000000" w:fill="C4BD97"/>
            <w:noWrap/>
            <w:vAlign w:val="bottom"/>
            <w:hideMark/>
          </w:tcPr>
          <w:p w14:paraId="5A44D550"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R$ 3.982.394,06</w:t>
            </w:r>
          </w:p>
        </w:tc>
      </w:tr>
      <w:tr w:rsidR="00776D75" w:rsidRPr="00CB623E" w14:paraId="40347C57" w14:textId="77777777" w:rsidTr="00CB32F8">
        <w:trPr>
          <w:trHeight w:val="313"/>
        </w:trPr>
        <w:tc>
          <w:tcPr>
            <w:tcW w:w="621" w:type="dxa"/>
            <w:tcBorders>
              <w:top w:val="nil"/>
              <w:left w:val="nil"/>
              <w:bottom w:val="nil"/>
              <w:right w:val="nil"/>
            </w:tcBorders>
            <w:shd w:val="clear" w:color="000000" w:fill="FFFFFF"/>
            <w:vAlign w:val="center"/>
            <w:hideMark/>
          </w:tcPr>
          <w:p w14:paraId="41E8EC33"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rPr>
            </w:pPr>
            <w:r w:rsidRPr="00CB623E">
              <w:rPr>
                <w:rFonts w:ascii="Times New Roman" w:eastAsia="Times New Roman" w:hAnsi="Times New Roman" w:cs="Times New Roman"/>
                <w:b/>
                <w:bCs/>
              </w:rPr>
              <w:t> </w:t>
            </w:r>
          </w:p>
        </w:tc>
        <w:tc>
          <w:tcPr>
            <w:tcW w:w="2336" w:type="dxa"/>
            <w:tcBorders>
              <w:top w:val="nil"/>
              <w:left w:val="nil"/>
              <w:bottom w:val="nil"/>
              <w:right w:val="nil"/>
            </w:tcBorders>
            <w:shd w:val="clear" w:color="000000" w:fill="FFFFFF"/>
            <w:vAlign w:val="center"/>
            <w:hideMark/>
          </w:tcPr>
          <w:p w14:paraId="1FBA308E"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888" w:type="dxa"/>
            <w:tcBorders>
              <w:top w:val="nil"/>
              <w:left w:val="nil"/>
              <w:bottom w:val="nil"/>
              <w:right w:val="nil"/>
            </w:tcBorders>
            <w:shd w:val="clear" w:color="000000" w:fill="FFFFFF"/>
            <w:vAlign w:val="center"/>
            <w:hideMark/>
          </w:tcPr>
          <w:p w14:paraId="44E56AC3"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836" w:type="dxa"/>
            <w:tcBorders>
              <w:top w:val="nil"/>
              <w:left w:val="nil"/>
              <w:bottom w:val="nil"/>
              <w:right w:val="nil"/>
            </w:tcBorders>
            <w:shd w:val="clear" w:color="000000" w:fill="FFFFFF"/>
            <w:vAlign w:val="center"/>
            <w:hideMark/>
          </w:tcPr>
          <w:p w14:paraId="303D9701"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1258" w:type="dxa"/>
            <w:tcBorders>
              <w:top w:val="nil"/>
              <w:left w:val="nil"/>
              <w:bottom w:val="nil"/>
              <w:right w:val="nil"/>
            </w:tcBorders>
            <w:shd w:val="clear" w:color="000000" w:fill="FFFFFF"/>
            <w:vAlign w:val="center"/>
            <w:hideMark/>
          </w:tcPr>
          <w:p w14:paraId="45D6C4E0"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1485" w:type="dxa"/>
            <w:tcBorders>
              <w:top w:val="nil"/>
              <w:left w:val="nil"/>
              <w:bottom w:val="nil"/>
              <w:right w:val="nil"/>
            </w:tcBorders>
            <w:shd w:val="clear" w:color="000000" w:fill="FFFFFF"/>
            <w:vAlign w:val="center"/>
            <w:hideMark/>
          </w:tcPr>
          <w:p w14:paraId="5B4B921A"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1151" w:type="dxa"/>
            <w:tcBorders>
              <w:top w:val="nil"/>
              <w:left w:val="nil"/>
              <w:bottom w:val="nil"/>
              <w:right w:val="nil"/>
            </w:tcBorders>
            <w:shd w:val="clear" w:color="000000" w:fill="FFFFFF"/>
            <w:vAlign w:val="center"/>
            <w:hideMark/>
          </w:tcPr>
          <w:p w14:paraId="7D30C948" w14:textId="77777777" w:rsidR="00776D75" w:rsidRPr="00CB623E" w:rsidRDefault="00776D75" w:rsidP="009A7B17">
            <w:pPr>
              <w:tabs>
                <w:tab w:val="left" w:pos="0"/>
              </w:tabs>
              <w:spacing w:after="0" w:line="360" w:lineRule="auto"/>
              <w:jc w:val="right"/>
              <w:rPr>
                <w:rFonts w:ascii="Times New Roman" w:eastAsia="Times New Roman" w:hAnsi="Times New Roman" w:cs="Times New Roman"/>
                <w:b/>
                <w:bCs/>
                <w:sz w:val="18"/>
                <w:szCs w:val="18"/>
              </w:rPr>
            </w:pPr>
            <w:r w:rsidRPr="00CB623E">
              <w:rPr>
                <w:rFonts w:ascii="Times New Roman" w:eastAsia="Times New Roman" w:hAnsi="Times New Roman" w:cs="Times New Roman"/>
                <w:b/>
                <w:bCs/>
                <w:sz w:val="18"/>
                <w:szCs w:val="18"/>
              </w:rPr>
              <w:t> </w:t>
            </w:r>
          </w:p>
        </w:tc>
        <w:tc>
          <w:tcPr>
            <w:tcW w:w="1085" w:type="dxa"/>
            <w:gridSpan w:val="2"/>
            <w:tcBorders>
              <w:top w:val="nil"/>
              <w:left w:val="nil"/>
              <w:bottom w:val="nil"/>
              <w:right w:val="nil"/>
            </w:tcBorders>
            <w:shd w:val="clear" w:color="000000" w:fill="FFFFFF"/>
            <w:noWrap/>
            <w:vAlign w:val="bottom"/>
            <w:hideMark/>
          </w:tcPr>
          <w:p w14:paraId="53A6C731"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b/>
                <w:bCs/>
                <w:color w:val="000000"/>
                <w:sz w:val="18"/>
                <w:szCs w:val="18"/>
              </w:rPr>
            </w:pPr>
            <w:r w:rsidRPr="00CB623E">
              <w:rPr>
                <w:rFonts w:ascii="Times New Roman" w:eastAsia="Times New Roman" w:hAnsi="Times New Roman" w:cs="Times New Roman"/>
                <w:b/>
                <w:bCs/>
                <w:color w:val="000000"/>
                <w:sz w:val="18"/>
                <w:szCs w:val="18"/>
              </w:rPr>
              <w:t> </w:t>
            </w:r>
          </w:p>
        </w:tc>
      </w:tr>
      <w:tr w:rsidR="00776D75" w:rsidRPr="00CB623E" w14:paraId="7851D613" w14:textId="77777777" w:rsidTr="009A7B17">
        <w:trPr>
          <w:gridAfter w:val="1"/>
          <w:wAfter w:w="26" w:type="dxa"/>
          <w:trHeight w:val="895"/>
        </w:trPr>
        <w:tc>
          <w:tcPr>
            <w:tcW w:w="9634" w:type="dxa"/>
            <w:gridSpan w:val="8"/>
            <w:tcBorders>
              <w:top w:val="single" w:sz="4" w:space="0" w:color="auto"/>
              <w:left w:val="single" w:sz="4" w:space="0" w:color="auto"/>
              <w:bottom w:val="single" w:sz="4" w:space="0" w:color="auto"/>
              <w:right w:val="single" w:sz="4" w:space="0" w:color="auto"/>
            </w:tcBorders>
            <w:vAlign w:val="center"/>
            <w:hideMark/>
          </w:tcPr>
          <w:p w14:paraId="3892F1C5" w14:textId="77777777" w:rsidR="00776D75" w:rsidRPr="00CB623E" w:rsidRDefault="00776D75" w:rsidP="009A7B17">
            <w:pPr>
              <w:tabs>
                <w:tab w:val="left" w:pos="0"/>
              </w:tabs>
              <w:spacing w:after="0" w:line="360" w:lineRule="auto"/>
              <w:jc w:val="left"/>
              <w:rPr>
                <w:rFonts w:ascii="Times New Roman" w:eastAsia="Times New Roman" w:hAnsi="Times New Roman" w:cs="Times New Roman"/>
                <w:b/>
                <w:bCs/>
              </w:rPr>
            </w:pPr>
            <w:r w:rsidRPr="00CB623E">
              <w:rPr>
                <w:rFonts w:ascii="Times New Roman" w:eastAsia="Times New Roman" w:hAnsi="Times New Roman" w:cs="Times New Roman"/>
                <w:b/>
                <w:bCs/>
              </w:rPr>
              <w:t>O preço unitário a ser considerado para o fornecimento dos produtos ITEM 4 será o PREÇO MÉDIO AO CONSUMIDOR DO MUNICÍPIO DE DUQUE DE CAXIAS - RJ, por ser o Município limítrofe mais próximo, tendo em vista que o Sistema de Levantamento de Preços (SLP) da Agência Nacional de Petróleo (ANP) não contempla o Município de Magé, DEDUZIDO DO DESCONTO ofertado na proposta vencedora;</w:t>
            </w:r>
          </w:p>
        </w:tc>
      </w:tr>
    </w:tbl>
    <w:p w14:paraId="238A964C" w14:textId="77777777" w:rsidR="00287E5B" w:rsidRPr="00CB623E" w:rsidRDefault="00287E5B" w:rsidP="00CB32F8">
      <w:pPr>
        <w:tabs>
          <w:tab w:val="left" w:pos="0"/>
        </w:tabs>
        <w:spacing w:after="0" w:line="240" w:lineRule="auto"/>
        <w:contextualSpacing/>
        <w:rPr>
          <w:rFonts w:ascii="Times New Roman" w:eastAsia="Arial" w:hAnsi="Times New Roman" w:cs="Times New Roman"/>
          <w:sz w:val="16"/>
          <w:szCs w:val="16"/>
          <w:lang w:eastAsia="en-US"/>
        </w:rPr>
      </w:pPr>
    </w:p>
    <w:p w14:paraId="7AC1EAEB"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Times New Roman" w:hAnsi="Times New Roman" w:cs="Times New Roman"/>
          <w:sz w:val="24"/>
          <w:szCs w:val="24"/>
          <w:lang w:eastAsia="en-US"/>
        </w:rPr>
        <w:t>Somente ocorrerá o reajustamento do contrato decorrido o prazo mínimo de 12 meses contados do orçamento estimado, conforme o art. 157, §1° do Decreto Municipal 3635/2023;</w:t>
      </w:r>
    </w:p>
    <w:p w14:paraId="7C5E2D8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Times New Roman" w:hAnsi="Times New Roman" w:cs="Times New Roman"/>
          <w:sz w:val="24"/>
          <w:szCs w:val="24"/>
          <w:lang w:eastAsia="en-US"/>
        </w:rPr>
        <w:t>Os preços serão reajustados de acordo com a variação do IPCA Índice de Preços ao Consumidor Amplo do Instituto Brasileiro de Geografia e Estatística – IBGE;</w:t>
      </w:r>
    </w:p>
    <w:p w14:paraId="72F1EBB8" w14:textId="77777777" w:rsidR="00776D75" w:rsidRPr="00CB623E" w:rsidRDefault="00776D75" w:rsidP="00CB32F8">
      <w:pPr>
        <w:tabs>
          <w:tab w:val="left" w:pos="0"/>
        </w:tabs>
        <w:spacing w:after="0" w:line="240" w:lineRule="auto"/>
        <w:contextualSpacing/>
        <w:rPr>
          <w:rFonts w:ascii="Times New Roman" w:eastAsia="Arial" w:hAnsi="Times New Roman" w:cs="Times New Roman"/>
          <w:sz w:val="16"/>
          <w:szCs w:val="16"/>
          <w:lang w:eastAsia="en-US"/>
        </w:rPr>
      </w:pPr>
    </w:p>
    <w:p w14:paraId="02B9767B" w14:textId="77777777" w:rsidR="000011CD" w:rsidRPr="00CB623E" w:rsidRDefault="000011CD" w:rsidP="00047003">
      <w:pPr>
        <w:numPr>
          <w:ilvl w:val="0"/>
          <w:numId w:val="48"/>
        </w:numPr>
        <w:tabs>
          <w:tab w:val="left" w:pos="0"/>
        </w:tabs>
        <w:spacing w:after="0" w:line="360" w:lineRule="auto"/>
        <w:ind w:left="0" w:firstLine="0"/>
        <w:contextualSpacing/>
        <w:rPr>
          <w:rFonts w:ascii="Times New Roman" w:eastAsia="Arial" w:hAnsi="Times New Roman" w:cs="Times New Roman"/>
          <w:b/>
          <w:sz w:val="24"/>
          <w:szCs w:val="24"/>
          <w:u w:val="single"/>
          <w:lang w:eastAsia="en-US"/>
        </w:rPr>
      </w:pPr>
      <w:r w:rsidRPr="00CB623E">
        <w:rPr>
          <w:rFonts w:ascii="Times New Roman" w:eastAsia="Arial" w:hAnsi="Times New Roman" w:cs="Times New Roman"/>
          <w:b/>
          <w:sz w:val="24"/>
          <w:szCs w:val="24"/>
          <w:u w:val="single"/>
          <w:lang w:eastAsia="en-US"/>
        </w:rPr>
        <w:t>DA ADEQUAÇÃO ORÇAMENTÁRIA</w:t>
      </w:r>
    </w:p>
    <w:p w14:paraId="20030C9A" w14:textId="031FDC02"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 xml:space="preserve">A cobertura das despesas necessárias à execução dos serviços contratados </w:t>
      </w:r>
      <w:r w:rsidRPr="00CB623E">
        <w:rPr>
          <w:rFonts w:ascii="Times New Roman" w:eastAsia="Arial" w:hAnsi="Times New Roman" w:cs="Times New Roman"/>
          <w:sz w:val="24"/>
          <w:szCs w:val="24"/>
          <w:lang w:eastAsia="en-US"/>
        </w:rPr>
        <w:t>correrá à conta da seguinte classificação orçamentária</w:t>
      </w:r>
      <w:r w:rsidR="00771324" w:rsidRPr="00CB623E">
        <w:rPr>
          <w:rFonts w:ascii="Times New Roman" w:eastAsia="Arial" w:hAnsi="Times New Roman" w:cs="Times New Roman"/>
          <w:sz w:val="24"/>
          <w:szCs w:val="24"/>
          <w:lang w:eastAsia="en-US"/>
        </w:rPr>
        <w:t>:</w:t>
      </w:r>
    </w:p>
    <w:p w14:paraId="6B90BE79" w14:textId="77777777" w:rsidR="009A7B17" w:rsidRPr="00CB623E" w:rsidRDefault="009A7B17" w:rsidP="009A7B17">
      <w:pPr>
        <w:pStyle w:val="Ttulo"/>
        <w:keepNext w:val="0"/>
        <w:keepLines w:val="0"/>
        <w:numPr>
          <w:ilvl w:val="0"/>
          <w:numId w:val="46"/>
        </w:numPr>
        <w:overflowPunct w:val="0"/>
        <w:autoSpaceDE w:val="0"/>
        <w:autoSpaceDN w:val="0"/>
        <w:adjustRightInd w:val="0"/>
        <w:spacing w:before="0" w:after="0" w:line="360" w:lineRule="auto"/>
        <w:ind w:left="0" w:firstLine="0"/>
        <w:textAlignment w:val="baseline"/>
        <w:rPr>
          <w:rFonts w:ascii="Times New Roman" w:hAnsi="Times New Roman" w:cs="Times New Roman"/>
          <w:b w:val="0"/>
          <w:bCs/>
          <w:sz w:val="24"/>
          <w:szCs w:val="24"/>
        </w:rPr>
      </w:pPr>
      <w:r w:rsidRPr="00CB623E">
        <w:rPr>
          <w:rFonts w:ascii="Times New Roman" w:hAnsi="Times New Roman" w:cs="Times New Roman"/>
          <w:bCs/>
          <w:sz w:val="24"/>
          <w:szCs w:val="24"/>
          <w:u w:val="single"/>
        </w:rPr>
        <w:t>EDUCAÇÃO</w:t>
      </w:r>
      <w:r w:rsidRPr="00CB623E">
        <w:rPr>
          <w:rFonts w:ascii="Times New Roman" w:hAnsi="Times New Roman" w:cs="Times New Roman"/>
          <w:bCs/>
          <w:sz w:val="24"/>
          <w:szCs w:val="24"/>
        </w:rPr>
        <w:t xml:space="preserve"> </w:t>
      </w:r>
      <w:r w:rsidRPr="00CB623E">
        <w:rPr>
          <w:rFonts w:ascii="Times New Roman" w:hAnsi="Times New Roman" w:cs="Times New Roman"/>
          <w:sz w:val="24"/>
          <w:szCs w:val="24"/>
        </w:rPr>
        <w:t>PT. 02.11.12.365.4012.2152 / 02.11.12.365.4012.2138/ 02.11.12.361.4013.2141 / 02.11.12 366.4015.2153 /ND. 3.3.90.30/ 4.4.90.52 - Fontes: 500 / 501 / 550 / 553 / 573 / 704 / 705 / 708 / 720</w:t>
      </w:r>
      <w:r w:rsidRPr="00CB623E">
        <w:rPr>
          <w:rFonts w:ascii="Times New Roman" w:hAnsi="Times New Roman" w:cs="Times New Roman"/>
          <w:b w:val="0"/>
          <w:bCs/>
          <w:sz w:val="24"/>
          <w:szCs w:val="24"/>
        </w:rPr>
        <w:t>.</w:t>
      </w:r>
    </w:p>
    <w:p w14:paraId="55DF89C5" w14:textId="17F34AFE" w:rsidR="009623F4" w:rsidRPr="00CB623E" w:rsidRDefault="009A7B17" w:rsidP="009A7B17">
      <w:pPr>
        <w:pStyle w:val="Ttulo"/>
        <w:keepNext w:val="0"/>
        <w:keepLines w:val="0"/>
        <w:numPr>
          <w:ilvl w:val="0"/>
          <w:numId w:val="46"/>
        </w:numPr>
        <w:overflowPunct w:val="0"/>
        <w:autoSpaceDE w:val="0"/>
        <w:autoSpaceDN w:val="0"/>
        <w:adjustRightInd w:val="0"/>
        <w:spacing w:before="0" w:after="0" w:line="360" w:lineRule="auto"/>
        <w:ind w:left="0" w:firstLine="0"/>
        <w:textAlignment w:val="baseline"/>
        <w:rPr>
          <w:rFonts w:ascii="Times New Roman" w:hAnsi="Times New Roman" w:cs="Times New Roman"/>
          <w:b w:val="0"/>
          <w:bCs/>
          <w:sz w:val="24"/>
          <w:szCs w:val="24"/>
        </w:rPr>
      </w:pPr>
      <w:r w:rsidRPr="00CB623E">
        <w:rPr>
          <w:rFonts w:ascii="Times New Roman" w:hAnsi="Times New Roman" w:cs="Times New Roman"/>
          <w:sz w:val="24"/>
          <w:szCs w:val="24"/>
          <w:u w:val="single"/>
        </w:rPr>
        <w:t>ASSISTENCIA SOCIAL E DIREITOS HUMANOS</w:t>
      </w:r>
      <w:r w:rsidRPr="00CB623E">
        <w:rPr>
          <w:rFonts w:ascii="Times New Roman" w:hAnsi="Times New Roman" w:cs="Times New Roman"/>
          <w:sz w:val="24"/>
          <w:szCs w:val="24"/>
        </w:rPr>
        <w:t xml:space="preserve"> - PT. 05.01.08.244.0001.2003 05.02.08.244.4008.2119 / 05.02.08.244.4005.2127 /ND. 3.3.90.30 / 4.4.90.52 - Fontes: 500 / 501 / 660 / 661 / 704 / 705 / 708 / 720</w:t>
      </w:r>
    </w:p>
    <w:p w14:paraId="1905185C" w14:textId="77777777" w:rsidR="009A7B17" w:rsidRPr="00CB623E" w:rsidRDefault="009A7B17" w:rsidP="009A7B17">
      <w:pPr>
        <w:tabs>
          <w:tab w:val="left" w:pos="0"/>
        </w:tabs>
        <w:spacing w:after="0" w:line="360" w:lineRule="auto"/>
        <w:rPr>
          <w:rFonts w:ascii="Times New Roman" w:eastAsia="Arial" w:hAnsi="Times New Roman" w:cs="Times New Roman"/>
          <w:b/>
          <w:sz w:val="24"/>
          <w:szCs w:val="24"/>
          <w:u w:val="single"/>
          <w:lang w:eastAsia="en-US"/>
        </w:rPr>
      </w:pPr>
    </w:p>
    <w:p w14:paraId="575C14AA" w14:textId="77777777" w:rsidR="00CB32F8" w:rsidRPr="00CB623E" w:rsidRDefault="00CB32F8" w:rsidP="009A7B17">
      <w:pPr>
        <w:tabs>
          <w:tab w:val="left" w:pos="0"/>
        </w:tabs>
        <w:spacing w:after="0" w:line="360" w:lineRule="auto"/>
        <w:rPr>
          <w:rFonts w:ascii="Times New Roman" w:eastAsia="Arial" w:hAnsi="Times New Roman" w:cs="Times New Roman"/>
          <w:b/>
          <w:sz w:val="24"/>
          <w:szCs w:val="24"/>
          <w:u w:val="single"/>
          <w:lang w:eastAsia="en-US"/>
        </w:rPr>
      </w:pPr>
    </w:p>
    <w:p w14:paraId="2540E7F7" w14:textId="77777777" w:rsidR="00CB32F8" w:rsidRPr="00CB623E" w:rsidRDefault="00CB32F8" w:rsidP="009A7B17">
      <w:pPr>
        <w:tabs>
          <w:tab w:val="left" w:pos="0"/>
        </w:tabs>
        <w:spacing w:after="0" w:line="360" w:lineRule="auto"/>
        <w:rPr>
          <w:rFonts w:ascii="Times New Roman" w:eastAsia="Arial" w:hAnsi="Times New Roman" w:cs="Times New Roman"/>
          <w:b/>
          <w:sz w:val="24"/>
          <w:szCs w:val="24"/>
          <w:u w:val="single"/>
          <w:lang w:eastAsia="en-US"/>
        </w:rPr>
      </w:pPr>
    </w:p>
    <w:p w14:paraId="68ED76A3" w14:textId="378CD578" w:rsidR="000011CD" w:rsidRPr="00CB623E" w:rsidRDefault="000011CD" w:rsidP="00047003">
      <w:pPr>
        <w:pStyle w:val="PargrafodaLista"/>
        <w:numPr>
          <w:ilvl w:val="0"/>
          <w:numId w:val="48"/>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hAnsi="Times New Roman" w:cs="Times New Roman"/>
          <w:b/>
          <w:sz w:val="24"/>
          <w:szCs w:val="24"/>
          <w:lang w:eastAsia="en-US"/>
        </w:rPr>
        <w:lastRenderedPageBreak/>
        <w:t>OBRIGAÇÕES DA CONTRATADA</w:t>
      </w:r>
    </w:p>
    <w:p w14:paraId="78ED486B"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Executar os serviços conforme especificações deste Termo de Referência e de sua proposta, com a alocação dos empregados habilitados e com conhecimentos básicos dos serviços a serem executados, em conformidade com as normas e determinações em vigor, para o perfeito cumprimento das cláusulas contratuais, além de fornecer e utilizar os materiais e equipamentos na qualidade e quantidade mínimas necessárias à execução do objeto;</w:t>
      </w:r>
    </w:p>
    <w:p w14:paraId="42001EB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inobservância ao disposto no subitem implicará o não pagamento do valor devido à Contratada, até que haja a necessária regularização;</w:t>
      </w:r>
    </w:p>
    <w:p w14:paraId="19A73769"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Entregar o objeto do contrato sem qualquer ônus para o CONTRATANTE, estando incluído no valor do pagamento todas e quaisquer despesas, tais como tributos, frete, seguro e descarregamento das mercadorias; </w:t>
      </w:r>
    </w:p>
    <w:p w14:paraId="3F05845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51B21B1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Comunicar ao Fiscal do Contrato, por escrito e tão logo constatado problema ou a impossibilidade de execução de qualquer obrigação contratual, para a adoção das providências cabíveis;</w:t>
      </w:r>
    </w:p>
    <w:p w14:paraId="38C58736"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Reparar, corrigir, remover, reconstruir ou substituir, no todo ou em parte e às suas expensas, no prazo fixado pelo Fiscal do Contrato, os serviços efetuados em que se verificarem vícios, defeitos ou incorreções resultantes de execução irregular ou do fornecimento de materiais inadequados ou desconformes com as especificações; </w:t>
      </w:r>
    </w:p>
    <w:p w14:paraId="0CE0FE4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Indenizar todo e qualquer dano e prejuízo pessoal ou material que possa advir, direta ou indiretamente, do exercício de suas atividades ou serem causados por seus prepostos à CONTRATANTE ou terceiros; </w:t>
      </w:r>
    </w:p>
    <w:p w14:paraId="2E86E31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Assumir inteira responsabilidade quanto à garantia e qualidade do produto, reservando à Contratante o direito de recusá-lo caso não satisfaça aos padrões especificados;</w:t>
      </w:r>
    </w:p>
    <w:p w14:paraId="07C2131E"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Emitir fatura no valor pactuado e condições do Contrato, apresentando-a ao Contratante para atesto e pagamento; </w:t>
      </w:r>
    </w:p>
    <w:p w14:paraId="3B6416C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Comunicar ao Fiscal do contrato, no prazo de 24 (vinte e quatro) horas, qualquer ocorrência anormal ou acidente que se verifique no local dos serviços;</w:t>
      </w:r>
    </w:p>
    <w:p w14:paraId="09C9AE14"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Paralisar, por determinação da CONTRATANTE qualquer atividade que não esteja sendo executada de acordo com a boa técnica ou que ponha em risco a segurança de pessoas ou bens de terceiros;</w:t>
      </w:r>
    </w:p>
    <w:p w14:paraId="1927DF14"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Conduzir os trabalhos com estrita observância às normas da legislação pertinente, cumprindo as determinações dos Poderes Públicos, prestando os serviços dentro dos parâmetros e rotinas estabelecidos, fornecendo todos os materiais, equipamentos e utensílios em quantidade, qualidade e tecnologia adequadas, com a observância às recomendações aceitas pela boa técnica, normas e legislação;</w:t>
      </w:r>
    </w:p>
    <w:p w14:paraId="29A5C36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Submeter previamente, por escrito, à CONTRATANTE, para análise e aprovação, quaisquer mudanças nos métodos executivos que fujam às especificações dos procedimentos normalmente aplicados;</w:t>
      </w:r>
    </w:p>
    <w:p w14:paraId="5745342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Arcar com o ônus decorrente de eventual equívoco no dimensionamento dos quantitativos de sua proposta, inclusive quanto aos custos variáveis decorrentes de fatores futuros e incertos, caso o previsto inicialmente em sua proposta não seja satisfatório para o atendimento do objeto da licitação, exceto quando ocorrer algum dos eventos arrolados nos incisos do art. 155 da Lei nº 14.133/21;</w:t>
      </w:r>
    </w:p>
    <w:p w14:paraId="14EECD2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CONTRATADA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28413D3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hAnsi="Times New Roman" w:cs="Times New Roman"/>
          <w:sz w:val="24"/>
          <w:szCs w:val="24"/>
          <w:lang w:eastAsia="en-US"/>
        </w:rPr>
      </w:pPr>
      <w:r w:rsidRPr="00CB623E">
        <w:rPr>
          <w:rFonts w:ascii="Times New Roman" w:hAnsi="Times New Roman" w:cs="Times New Roman"/>
          <w:sz w:val="24"/>
          <w:szCs w:val="24"/>
          <w:lang w:eastAsia="en-US"/>
        </w:rPr>
        <w:t>Nos valores propostos deverão estar inclusos todos os custos operacionais, encargos previdenciários, trabalhistas, tributários, comerciais e quaisquer outros que incidam direta ou indiretamente na prestação do serviço;</w:t>
      </w:r>
    </w:p>
    <w:p w14:paraId="69D63DF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CONTRATADA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5B144EE0"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OBRIGAÇÕES ESPECÍFICAS</w:t>
      </w:r>
    </w:p>
    <w:p w14:paraId="3522C3E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Cumprir todas as demais obrigações impostas pelo edital e seus anexos, quando couber;</w:t>
      </w:r>
    </w:p>
    <w:p w14:paraId="11C2A800"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hAnsi="Times New Roman" w:cs="Times New Roman"/>
          <w:sz w:val="24"/>
          <w:szCs w:val="24"/>
          <w:lang w:eastAsia="en-US"/>
        </w:rPr>
        <w:t>A CONTRATADA deverá observar as demais obrigações e responsabilidades previstas na Lei Federal 14.133/2021 e Decreto Municipal 3.635/2023.</w:t>
      </w:r>
    </w:p>
    <w:p w14:paraId="73B3C01E" w14:textId="77777777" w:rsidR="000011CD" w:rsidRPr="00CB623E" w:rsidRDefault="000011CD" w:rsidP="003E014A">
      <w:pPr>
        <w:tabs>
          <w:tab w:val="left" w:pos="0"/>
        </w:tabs>
        <w:spacing w:after="0" w:line="240" w:lineRule="auto"/>
        <w:contextualSpacing/>
        <w:rPr>
          <w:rFonts w:ascii="Times New Roman" w:eastAsia="Arial" w:hAnsi="Times New Roman" w:cs="Times New Roman"/>
          <w:sz w:val="16"/>
          <w:szCs w:val="16"/>
          <w:lang w:eastAsia="en-US"/>
        </w:rPr>
      </w:pPr>
    </w:p>
    <w:p w14:paraId="51DE40F9" w14:textId="77777777" w:rsidR="000011CD" w:rsidRPr="00CB623E" w:rsidRDefault="000011CD" w:rsidP="00047003">
      <w:pPr>
        <w:numPr>
          <w:ilvl w:val="0"/>
          <w:numId w:val="48"/>
        </w:numPr>
        <w:tabs>
          <w:tab w:val="left" w:pos="0"/>
        </w:tabs>
        <w:spacing w:after="0" w:line="360" w:lineRule="auto"/>
        <w:ind w:left="0" w:firstLine="0"/>
        <w:contextualSpacing/>
        <w:rPr>
          <w:rFonts w:ascii="Times New Roman" w:eastAsia="Arial" w:hAnsi="Times New Roman" w:cs="Times New Roman"/>
          <w:sz w:val="24"/>
          <w:szCs w:val="24"/>
          <w:u w:val="single"/>
          <w:lang w:eastAsia="en-US"/>
        </w:rPr>
      </w:pPr>
      <w:r w:rsidRPr="00CB623E">
        <w:rPr>
          <w:rFonts w:ascii="Times New Roman" w:eastAsia="Arial" w:hAnsi="Times New Roman" w:cs="Times New Roman"/>
          <w:b/>
          <w:sz w:val="24"/>
          <w:szCs w:val="24"/>
          <w:u w:val="single"/>
          <w:lang w:eastAsia="en-US"/>
        </w:rPr>
        <w:t>INFRAÇÕES E SANÇÕES ADMINISTRATIVAS</w:t>
      </w:r>
    </w:p>
    <w:p w14:paraId="566F76E2"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descumprimento total ou parcial das obrigações assumidas, a execução irregular ou tardia, bem como qualquer outra infração contratual por parte da CONTRATADA, poderá ensejar a aplicação das sanções previstas na Lei nº 14.133/2021 e demais normas aplicáveis.</w:t>
      </w:r>
    </w:p>
    <w:p w14:paraId="0D30A18F"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Ressalta-se, contudo, que a imposição de quaisquer penalidades estará necessariamente condicionada à observância dos princípios do contraditório e da ampla defesa, assegurando-se à </w:t>
      </w:r>
      <w:r w:rsidRPr="00CB623E">
        <w:rPr>
          <w:rFonts w:ascii="Times New Roman" w:eastAsia="Arial" w:hAnsi="Times New Roman" w:cs="Times New Roman"/>
          <w:sz w:val="24"/>
          <w:szCs w:val="24"/>
          <w:lang w:eastAsia="en-US"/>
        </w:rPr>
        <w:lastRenderedPageBreak/>
        <w:t>CONTRATADA a oportunidade de manifestação prévia e de apresentação de justificativas no âmbito do devido processo administrativo.</w:t>
      </w:r>
    </w:p>
    <w:p w14:paraId="1DB29C2E"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Comete infração administrativa, nos termos da Lei nº 14.133, de 2021, o Contratado que:</w:t>
      </w:r>
    </w:p>
    <w:p w14:paraId="681E5126" w14:textId="77777777" w:rsidR="000011CD" w:rsidRPr="00CB623E" w:rsidRDefault="000011CD" w:rsidP="009A7B17">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Der causa à inexecução parcial do contrato;</w:t>
      </w:r>
    </w:p>
    <w:p w14:paraId="6E1C00BC" w14:textId="77777777" w:rsidR="000011CD" w:rsidRPr="00CB623E" w:rsidRDefault="000011CD" w:rsidP="009A7B17">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Der causa à inexecução parcial do contrato que cause grave dano à Administração ou ao funcionamento dos serviços públicos ou ao interesse coletivo;</w:t>
      </w:r>
    </w:p>
    <w:p w14:paraId="435515A5" w14:textId="77777777" w:rsidR="000011CD" w:rsidRPr="00CB623E" w:rsidRDefault="000011CD" w:rsidP="009A7B17">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Der causa à inexecução total do contrato;</w:t>
      </w:r>
    </w:p>
    <w:p w14:paraId="322C43C4" w14:textId="77777777" w:rsidR="000011CD" w:rsidRPr="00CB623E" w:rsidRDefault="000011CD" w:rsidP="009A7B17">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Ensejar o retardamento da execução ou da entrega do objeto da contratação sem motivo justificado;</w:t>
      </w:r>
    </w:p>
    <w:p w14:paraId="67309476" w14:textId="77777777" w:rsidR="000011CD" w:rsidRPr="00CB623E" w:rsidRDefault="000011CD" w:rsidP="003E014A">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Apresentar documentação falsa ou prestar declaração falsa durante a execução do contrato;</w:t>
      </w:r>
    </w:p>
    <w:p w14:paraId="4DBC600A" w14:textId="77777777" w:rsidR="000011CD" w:rsidRPr="00CB623E" w:rsidRDefault="000011CD" w:rsidP="003E014A">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Praticar ato fraudulento na execução do contrato;</w:t>
      </w:r>
    </w:p>
    <w:p w14:paraId="4EBD2C0F" w14:textId="77777777" w:rsidR="000011CD" w:rsidRPr="00CB623E" w:rsidRDefault="000011CD" w:rsidP="003E014A">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Comportar-se de modo inidôneo ou cometer fraude de qualquer natureza;</w:t>
      </w:r>
    </w:p>
    <w:p w14:paraId="4A501FC7" w14:textId="77777777" w:rsidR="000011CD" w:rsidRPr="00CB623E" w:rsidRDefault="000011CD" w:rsidP="003E014A">
      <w:pPr>
        <w:numPr>
          <w:ilvl w:val="2"/>
          <w:numId w:val="21"/>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Praticar ato lesivo previsto no art. 5º da Lei nº 12.846, de 1º de agosto de 2013.</w:t>
      </w:r>
    </w:p>
    <w:p w14:paraId="7EDFF772" w14:textId="77777777" w:rsidR="000011CD" w:rsidRPr="00CB623E" w:rsidRDefault="000011CD" w:rsidP="003E014A">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Serão aplicadas ao Contratado que incorrer nas infrações acima descritas as seguintes sanções:</w:t>
      </w:r>
    </w:p>
    <w:p w14:paraId="7124CEAA"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Advertência, quando o Contratado der causa à inexecução parcial do contrato, sempre que não se justificar a imposição de penalidade mais grave;</w:t>
      </w:r>
    </w:p>
    <w:p w14:paraId="2C195282"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Impedimento de licitar e contratar, quando praticadas as condutas descritas nas alíneas “b”, “c” e “d” do subitem acima, sempre que não se justificar a imposição de penalidade mais grave;</w:t>
      </w:r>
    </w:p>
    <w:p w14:paraId="627F1DB7"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Declaração de inidoneidade para licitar e contratar, quando praticadas as condutas descritas nas alíneas “e”, “f”, “g” e “h” do subitem acima, bem como nas alíneas “b”, “c” e “d”, que justifiquem a imposição de penalidade mais grave.</w:t>
      </w:r>
    </w:p>
    <w:p w14:paraId="41A3E32D" w14:textId="77777777" w:rsidR="000011CD" w:rsidRPr="00CB623E" w:rsidRDefault="000011CD" w:rsidP="00047003">
      <w:pPr>
        <w:numPr>
          <w:ilvl w:val="2"/>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Multa:</w:t>
      </w:r>
    </w:p>
    <w:p w14:paraId="474F0C30"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Moratória, para as infrações descritas no item “d”, de 0,8% (oito décimos por cento) por dia de atraso injustificado sobre o valor da parcela inadimplida, até o limite de 30 (trinta) dias;</w:t>
      </w:r>
    </w:p>
    <w:p w14:paraId="3E937B48"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Moratória de 0,07% (sete centésimos por cento) por dia de atraso injustificado sobre o valor total do contrato, até o máximo de 2% (dois por cento), pela inobservância do prazo fixado para apresentação, suplementação ou reposição da garantia;</w:t>
      </w:r>
    </w:p>
    <w:p w14:paraId="3AED5DEF" w14:textId="47B8B665"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O atraso superior a 25 (vinte e cinco) dias para apresentação, suplementação ou reposição da garantia autoriza a Administração a promover a extinção do contrato por </w:t>
      </w:r>
      <w:r w:rsidRPr="00CB623E">
        <w:rPr>
          <w:rFonts w:ascii="Times New Roman" w:eastAsia="Arial" w:hAnsi="Times New Roman" w:cs="Times New Roman"/>
          <w:sz w:val="24"/>
          <w:szCs w:val="24"/>
          <w:lang w:eastAsia="en-US"/>
        </w:rPr>
        <w:lastRenderedPageBreak/>
        <w:t>descumprimento ou cumprimento irregular de suas cláusulas, conforme dispõe o inciso I do art. 137 da Lei n. 14.133, de 2021</w:t>
      </w:r>
      <w:r w:rsidR="003E014A" w:rsidRPr="00CB623E">
        <w:rPr>
          <w:rFonts w:ascii="Times New Roman" w:eastAsia="Arial" w:hAnsi="Times New Roman" w:cs="Times New Roman"/>
          <w:sz w:val="24"/>
          <w:szCs w:val="24"/>
          <w:lang w:eastAsia="en-US"/>
        </w:rPr>
        <w:t>.</w:t>
      </w:r>
    </w:p>
    <w:p w14:paraId="3F397F6D"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Compensatória, para as infrações descritas acima alíneas “e” a “h” de 10% (dez por cento) a 25% (vinte e cinco por cento) do valor da contratação.</w:t>
      </w:r>
    </w:p>
    <w:p w14:paraId="1BDA5E21"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Compensatória, para a inexecução total do contrato prevista acima na alínea “c”, de 30% (trinta por cento) do valor da contratação.</w:t>
      </w:r>
    </w:p>
    <w:p w14:paraId="2359D030"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Compensatória, para a infração descrita acima na alínea “b”, de 25% (vinte e cinco por cento) a 30% (trinta por cento) do valor da contratação</w:t>
      </w:r>
    </w:p>
    <w:p w14:paraId="47947DC1"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Compensatória, em substituição à multa moratória para a infração descrita acima na alínea “d”, de 10% (dez por cento) a 15% (quinze por cento) do valor da contratação.</w:t>
      </w:r>
    </w:p>
    <w:p w14:paraId="26A9376C" w14:textId="77777777" w:rsidR="000011CD" w:rsidRPr="00CB623E" w:rsidRDefault="000011CD" w:rsidP="003E014A">
      <w:pPr>
        <w:numPr>
          <w:ilvl w:val="3"/>
          <w:numId w:val="48"/>
        </w:numPr>
        <w:tabs>
          <w:tab w:val="left" w:pos="0"/>
          <w:tab w:val="left" w:pos="993"/>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Compensatória, para a infração descrita acima na alínea “a”, de 10% (dez por cento) a 20% (vinte por cento) do valor da contratação.</w:t>
      </w:r>
    </w:p>
    <w:p w14:paraId="44BFE9B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aplicação das sanções previstas neste Termo de Referência não exclui, em hipótese alguma, a obrigação de reparação integral do dano causado ao Contratante.</w:t>
      </w:r>
    </w:p>
    <w:p w14:paraId="11754C1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Todas as sanções previstas neste Termo de Referência poderão ser aplicadas cumulativamente com a multa.</w:t>
      </w:r>
    </w:p>
    <w:p w14:paraId="5BF52D4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Antes da aplicação da multa será facultada a defesa do interessado no prazo de 15 (quinze) dias úteis, contado da data de sua intimação.</w:t>
      </w:r>
    </w:p>
    <w:p w14:paraId="67D6E09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Se a multa aplicada e as indenizações cabíveis forem superiores ao valor do pagamento eventualmente devido pelo Contratante ao Contratado, além da perda desse valor, a diferença será descontada da garantia prestada ou será cobrada judicialmente.</w:t>
      </w:r>
    </w:p>
    <w:p w14:paraId="3973255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multa poderá ser recolhida administrativamente no prazo máximo de 15 (quinze) dias, a contar da data do recebimento da comunicação enviada pela autoridade competente.</w:t>
      </w:r>
    </w:p>
    <w:p w14:paraId="116BAF8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B39A7BB"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Para a garantia da ampla defesa e contraditório, as notificações serão enviadas eletronicamente para os endereços de e-mail informados na proposta comercial, bem como os cadastrados pela empresa no SICAF.</w:t>
      </w:r>
    </w:p>
    <w:p w14:paraId="1DE49B09"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Os endereços de e-mail informados na proposta comercial e/ou cadastrados no SICAF serão considerados de uso contínuo da empresa, não cabendo alegação de desconhecimento das comunicações a eles comprovadamente enviadas.</w:t>
      </w:r>
    </w:p>
    <w:p w14:paraId="661C6389" w14:textId="77777777" w:rsidR="000011CD" w:rsidRPr="00CB623E" w:rsidRDefault="000011CD" w:rsidP="00047003">
      <w:pPr>
        <w:numPr>
          <w:ilvl w:val="1"/>
          <w:numId w:val="48"/>
        </w:numPr>
        <w:tabs>
          <w:tab w:val="left" w:pos="0"/>
          <w:tab w:val="left" w:pos="426"/>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Na aplicação das sanções serão considerados:</w:t>
      </w:r>
    </w:p>
    <w:p w14:paraId="6A23729B" w14:textId="77777777" w:rsidR="000011CD" w:rsidRPr="00CB623E" w:rsidRDefault="000011CD" w:rsidP="00363BC2">
      <w:pPr>
        <w:numPr>
          <w:ilvl w:val="2"/>
          <w:numId w:val="48"/>
        </w:numPr>
        <w:tabs>
          <w:tab w:val="left" w:pos="0"/>
          <w:tab w:val="left" w:pos="426"/>
          <w:tab w:val="left" w:pos="1134"/>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A natureza e a gravidade da infração cometida;</w:t>
      </w:r>
    </w:p>
    <w:p w14:paraId="6CF09D77" w14:textId="77777777" w:rsidR="000011CD" w:rsidRPr="00CB623E" w:rsidRDefault="000011CD" w:rsidP="00363BC2">
      <w:pPr>
        <w:numPr>
          <w:ilvl w:val="2"/>
          <w:numId w:val="48"/>
        </w:numPr>
        <w:tabs>
          <w:tab w:val="left" w:pos="0"/>
          <w:tab w:val="left" w:pos="426"/>
          <w:tab w:val="left" w:pos="1134"/>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 peculiaridades do caso concreto;</w:t>
      </w:r>
    </w:p>
    <w:p w14:paraId="65D5D36B" w14:textId="77777777" w:rsidR="000011CD" w:rsidRPr="00CB623E" w:rsidRDefault="000011CD" w:rsidP="00363BC2">
      <w:pPr>
        <w:numPr>
          <w:ilvl w:val="2"/>
          <w:numId w:val="48"/>
        </w:numPr>
        <w:tabs>
          <w:tab w:val="left" w:pos="0"/>
          <w:tab w:val="left" w:pos="426"/>
          <w:tab w:val="left" w:pos="1134"/>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 circunstâncias agravantes ou atenuantes;</w:t>
      </w:r>
    </w:p>
    <w:p w14:paraId="571C8D02" w14:textId="77777777" w:rsidR="000011CD" w:rsidRPr="00CB623E" w:rsidRDefault="000011CD" w:rsidP="00363BC2">
      <w:pPr>
        <w:numPr>
          <w:ilvl w:val="2"/>
          <w:numId w:val="48"/>
        </w:numPr>
        <w:tabs>
          <w:tab w:val="left" w:pos="0"/>
          <w:tab w:val="left" w:pos="426"/>
          <w:tab w:val="left" w:pos="1134"/>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Os danos que dela provierem para o Contratante; e</w:t>
      </w:r>
    </w:p>
    <w:p w14:paraId="7D5A5718" w14:textId="77777777" w:rsidR="000011CD" w:rsidRPr="00CB623E" w:rsidRDefault="000011CD" w:rsidP="00363BC2">
      <w:pPr>
        <w:numPr>
          <w:ilvl w:val="2"/>
          <w:numId w:val="48"/>
        </w:numPr>
        <w:tabs>
          <w:tab w:val="left" w:pos="0"/>
          <w:tab w:val="left" w:pos="426"/>
          <w:tab w:val="left" w:pos="1134"/>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implantação ou o aperfeiçoamento de programa de integridade, conforme normas e orientações dos órgãos de controle.</w:t>
      </w:r>
    </w:p>
    <w:p w14:paraId="0DCC3DF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F71E526"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F70DA6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7770446"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 penalidades serão obrigatoriamente registradas no SICAF.</w:t>
      </w:r>
    </w:p>
    <w:p w14:paraId="1BEBB21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As sanções de impedimento de licitar e contratar e declaração de inidoneidade para licitar ou contratar são passíveis de reabilitação na forma do art. 163 da Lei nº 14.133, de 2021.</w:t>
      </w:r>
    </w:p>
    <w:p w14:paraId="3C1C133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C191BCA" w14:textId="77777777" w:rsidR="000011CD" w:rsidRPr="00CB623E" w:rsidRDefault="000011CD" w:rsidP="00363BC2">
      <w:pPr>
        <w:tabs>
          <w:tab w:val="left" w:pos="0"/>
        </w:tabs>
        <w:spacing w:after="0" w:line="240" w:lineRule="auto"/>
        <w:contextualSpacing/>
        <w:rPr>
          <w:rFonts w:ascii="Times New Roman" w:eastAsia="Arial" w:hAnsi="Times New Roman" w:cs="Times New Roman"/>
          <w:sz w:val="16"/>
          <w:szCs w:val="16"/>
          <w:lang w:eastAsia="en-US"/>
        </w:rPr>
      </w:pPr>
    </w:p>
    <w:p w14:paraId="0A4BD7D2" w14:textId="77777777" w:rsidR="000011CD" w:rsidRPr="00CB623E" w:rsidRDefault="000011CD" w:rsidP="00047003">
      <w:pPr>
        <w:numPr>
          <w:ilvl w:val="0"/>
          <w:numId w:val="48"/>
        </w:numPr>
        <w:tabs>
          <w:tab w:val="left" w:pos="0"/>
        </w:tabs>
        <w:spacing w:after="0" w:line="360" w:lineRule="auto"/>
        <w:ind w:left="0" w:firstLine="0"/>
        <w:contextualSpacing/>
        <w:rPr>
          <w:rFonts w:ascii="Times New Roman" w:eastAsia="Arial" w:hAnsi="Times New Roman" w:cs="Times New Roman"/>
          <w:sz w:val="24"/>
          <w:szCs w:val="24"/>
          <w:u w:val="single"/>
          <w:lang w:eastAsia="en-US"/>
        </w:rPr>
      </w:pPr>
      <w:r w:rsidRPr="00CB623E">
        <w:rPr>
          <w:rFonts w:ascii="Times New Roman" w:eastAsia="Arial" w:hAnsi="Times New Roman" w:cs="Times New Roman"/>
          <w:b/>
          <w:sz w:val="24"/>
          <w:szCs w:val="24"/>
          <w:u w:val="single"/>
          <w:lang w:eastAsia="en-US"/>
        </w:rPr>
        <w:t>DAS OBRIGAÇÕES DA CONTRATANTE</w:t>
      </w:r>
    </w:p>
    <w:p w14:paraId="1AA3590D"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Disponibilizar todos os meios necessários para a fiel execução do contrato;</w:t>
      </w:r>
    </w:p>
    <w:p w14:paraId="079BFF5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Acompanhar e fiscalizar a execução do contrato, bem como, atestar na Nota Fiscal a efetiva execução do objeto;</w:t>
      </w:r>
    </w:p>
    <w:p w14:paraId="069EBE1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lastRenderedPageBreak/>
        <w:t>Vetar o emprego de qualquer produto e/ou serviços que considerar incompatível com as especificações apresentadas na proposta da CONTRATADA, que possa ser inadequado, nocivo ou prejudicial à saúde dos servidores;</w:t>
      </w:r>
    </w:p>
    <w:p w14:paraId="12EF2EE8"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Designar servidor ou Comissão para proceder aos recebimentos provisórios e definitivos do objeto contratado, ou rejeitá-lo;</w:t>
      </w:r>
    </w:p>
    <w:p w14:paraId="7CE736BF"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Efetuar os pagamentos devidos à CONTRATADA, nas condições estabelecidas neste Termo e no Contrato;</w:t>
      </w:r>
    </w:p>
    <w:p w14:paraId="4D2C2DA1"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Receber o objeto no prazo e condições estabelecidas neste Termo de Referência;</w:t>
      </w:r>
    </w:p>
    <w:p w14:paraId="32DF573A" w14:textId="020E1E5D"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Fornecer à </w:t>
      </w:r>
      <w:r w:rsidR="00CF1C0D" w:rsidRPr="00CB623E">
        <w:rPr>
          <w:rFonts w:ascii="Times New Roman" w:eastAsia="Arial" w:hAnsi="Times New Roman" w:cs="Times New Roman"/>
          <w:sz w:val="24"/>
          <w:szCs w:val="24"/>
          <w:lang w:eastAsia="en-US"/>
        </w:rPr>
        <w:t>CONTRATADAS documentos</w:t>
      </w:r>
      <w:r w:rsidRPr="00CB623E">
        <w:rPr>
          <w:rFonts w:ascii="Times New Roman" w:eastAsia="Arial" w:hAnsi="Times New Roman" w:cs="Times New Roman"/>
          <w:sz w:val="24"/>
          <w:szCs w:val="24"/>
          <w:lang w:eastAsia="en-US"/>
        </w:rPr>
        <w:t>, informações e demais elementos que possuir e pertinentes à execução do objeto;</w:t>
      </w:r>
    </w:p>
    <w:p w14:paraId="3D22087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 xml:space="preserve">Aplicar à Contratada as sanções administrativas regulamentares contratuais cabíveis; </w:t>
      </w:r>
    </w:p>
    <w:p w14:paraId="5DAB8024"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Solicitar a troca dos produtos que não atenderem às especificações do objeto contratado;</w:t>
      </w:r>
    </w:p>
    <w:p w14:paraId="175FC6C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Notificar a Contratada, por escrito, a ocorrência de eventuais falhas ou imperfeições no fornecimento, fixando prazo para sua correção;</w:t>
      </w:r>
    </w:p>
    <w:p w14:paraId="5059E177"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4BEC8AE" w14:textId="179DCA62" w:rsidR="009A7B17" w:rsidRPr="00CB623E" w:rsidRDefault="009A7B17" w:rsidP="00363BC2">
      <w:pPr>
        <w:tabs>
          <w:tab w:val="left" w:pos="0"/>
        </w:tabs>
        <w:spacing w:after="0" w:line="240" w:lineRule="auto"/>
        <w:contextualSpacing/>
        <w:rPr>
          <w:rFonts w:ascii="Times New Roman" w:eastAsia="Arial" w:hAnsi="Times New Roman" w:cs="Times New Roman"/>
          <w:sz w:val="16"/>
          <w:szCs w:val="16"/>
          <w:lang w:eastAsia="en-US"/>
        </w:rPr>
      </w:pPr>
    </w:p>
    <w:p w14:paraId="57E30A71" w14:textId="28359D10" w:rsidR="00413654" w:rsidRPr="00CB623E" w:rsidRDefault="00413654" w:rsidP="00047003">
      <w:pPr>
        <w:pStyle w:val="Nivel01"/>
        <w:numPr>
          <w:ilvl w:val="0"/>
          <w:numId w:val="48"/>
        </w:numPr>
        <w:tabs>
          <w:tab w:val="clear" w:pos="567"/>
          <w:tab w:val="left" w:pos="0"/>
          <w:tab w:val="left" w:pos="426"/>
        </w:tabs>
        <w:spacing w:before="0" w:line="360" w:lineRule="auto"/>
        <w:ind w:left="0" w:firstLine="0"/>
        <w:contextualSpacing/>
        <w:rPr>
          <w:rFonts w:ascii="Times New Roman" w:hAnsi="Times New Roman" w:cs="Times New Roman"/>
          <w:sz w:val="24"/>
          <w:szCs w:val="24"/>
          <w:u w:val="single"/>
        </w:rPr>
      </w:pPr>
      <w:r w:rsidRPr="00CB623E">
        <w:rPr>
          <w:rFonts w:ascii="Times New Roman" w:hAnsi="Times New Roman" w:cs="Times New Roman"/>
          <w:sz w:val="24"/>
          <w:szCs w:val="24"/>
          <w:u w:val="single"/>
        </w:rPr>
        <w:t>DO SISTEMA DE REGISTRO DE PREÇOS</w:t>
      </w:r>
    </w:p>
    <w:p w14:paraId="3C146BA4"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76723D34"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17A2F0CD"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Após o julgamento da proposta e a homologação do certame será lavrada a Ata de Registro de Preços, assinada pela autoridade competente e pela (s) licitante (s) vencedora (s).</w:t>
      </w:r>
    </w:p>
    <w:p w14:paraId="60FC9427"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54CC9866"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lastRenderedPageBreak/>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47FF610A"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As aquisições ou as contratações adicionais a que se refere o item 13.5 não poderão exceder, por órgão ou entidade, a 50% (cinquenta por cento) dos quantitativos dos itens do instrumento convocatório registrados na ata de registro de preços para o órgão gerenciador e para os órgãos participantes.</w:t>
      </w:r>
    </w:p>
    <w:p w14:paraId="2B3A8A43"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O quantitativo decorrente das adesões à ata de registro de preços a que se refere o item 13.5 não poderá exceder, na totalidade, ao dobro do quantitativo de cada item registrado na ata de registro de preços para o órgão gerenciador e órgãos participantes, independentemente do número de órgãos não participantes que aderirem.</w:t>
      </w:r>
    </w:p>
    <w:p w14:paraId="7FD6E6B5"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725D9AB2"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Não será concedida nova adesão ao órgão ou entidade que não tenha consumido ou contratado o quantitativo autorizado anteriormente.</w:t>
      </w:r>
    </w:p>
    <w:p w14:paraId="0C04A311" w14:textId="77777777" w:rsidR="00413654" w:rsidRPr="00CB623E" w:rsidRDefault="00413654" w:rsidP="00047003">
      <w:pPr>
        <w:pStyle w:val="PargrafodaLista"/>
        <w:numPr>
          <w:ilvl w:val="1"/>
          <w:numId w:val="48"/>
        </w:numPr>
        <w:tabs>
          <w:tab w:val="left" w:pos="0"/>
          <w:tab w:val="left" w:pos="709"/>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 CONTRATANTE formalizará seu pedido de fornecimento por meio de contrato ou instrumento equivalente.</w:t>
      </w:r>
    </w:p>
    <w:p w14:paraId="28F07528"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47D0B2DD" w14:textId="77777777" w:rsidR="009A7B17" w:rsidRPr="00CB623E" w:rsidRDefault="009A7B17" w:rsidP="00363BC2">
      <w:pPr>
        <w:pStyle w:val="PargrafodaLista"/>
        <w:tabs>
          <w:tab w:val="left" w:pos="0"/>
          <w:tab w:val="left" w:pos="567"/>
        </w:tabs>
        <w:spacing w:after="0" w:line="240" w:lineRule="auto"/>
        <w:ind w:left="0"/>
        <w:rPr>
          <w:rFonts w:ascii="Times New Roman" w:hAnsi="Times New Roman" w:cs="Times New Roman"/>
          <w:sz w:val="16"/>
          <w:szCs w:val="16"/>
        </w:rPr>
      </w:pPr>
    </w:p>
    <w:p w14:paraId="2BCB38EE" w14:textId="77777777" w:rsidR="00413654" w:rsidRPr="00CB623E" w:rsidRDefault="00413654" w:rsidP="00047003">
      <w:pPr>
        <w:pStyle w:val="Nivel01"/>
        <w:numPr>
          <w:ilvl w:val="0"/>
          <w:numId w:val="48"/>
        </w:numPr>
        <w:tabs>
          <w:tab w:val="clear" w:pos="567"/>
          <w:tab w:val="left" w:pos="0"/>
          <w:tab w:val="left" w:pos="426"/>
        </w:tabs>
        <w:spacing w:before="0" w:line="360" w:lineRule="auto"/>
        <w:ind w:left="0" w:firstLine="0"/>
        <w:contextualSpacing/>
        <w:rPr>
          <w:rFonts w:ascii="Times New Roman" w:hAnsi="Times New Roman" w:cs="Times New Roman"/>
          <w:sz w:val="24"/>
          <w:szCs w:val="24"/>
          <w:u w:val="single"/>
        </w:rPr>
      </w:pPr>
      <w:r w:rsidRPr="00CB623E">
        <w:rPr>
          <w:rFonts w:ascii="Times New Roman" w:hAnsi="Times New Roman" w:cs="Times New Roman"/>
          <w:sz w:val="24"/>
          <w:szCs w:val="24"/>
          <w:u w:val="single"/>
        </w:rPr>
        <w:t>DA ATA DE REGISTRO DE PREÇOS</w:t>
      </w:r>
    </w:p>
    <w:p w14:paraId="2E53BB2F"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O registro de preços será formalizado pela Ata de Registro de Preços.</w:t>
      </w:r>
    </w:p>
    <w:p w14:paraId="5D40C0CE"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A ata de registro de preços poderá ser formalizada com mais de um fornecedor, desde que aceitem cotar o objeto em preço igual ao do licitante vencedor, assegurada a preferência de contratação de acordo com a ordem de classificação.</w:t>
      </w:r>
    </w:p>
    <w:p w14:paraId="18318AA9"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Serão celebradas tantas Atas de Registro de Preços quantas necessárias para o objeto deste Pregão.</w:t>
      </w:r>
    </w:p>
    <w:p w14:paraId="3FA1377B"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t xml:space="preserve"> As Atas de Registro de Preços vigorarão pelo prazo de 12 (doze) meses, podendo ser prorrogado, por igual período, desde que comprovado o preço vantajoso.</w:t>
      </w:r>
    </w:p>
    <w:p w14:paraId="26DA4B78" w14:textId="77777777" w:rsidR="00413654" w:rsidRPr="00CB623E" w:rsidRDefault="00413654" w:rsidP="00047003">
      <w:pPr>
        <w:pStyle w:val="PargrafodaLista"/>
        <w:numPr>
          <w:ilvl w:val="1"/>
          <w:numId w:val="48"/>
        </w:numPr>
        <w:tabs>
          <w:tab w:val="left" w:pos="0"/>
          <w:tab w:val="left" w:pos="567"/>
        </w:tabs>
        <w:spacing w:after="0" w:line="360" w:lineRule="auto"/>
        <w:ind w:left="0" w:firstLine="0"/>
        <w:rPr>
          <w:rFonts w:ascii="Times New Roman" w:hAnsi="Times New Roman" w:cs="Times New Roman"/>
          <w:sz w:val="24"/>
          <w:szCs w:val="24"/>
        </w:rPr>
      </w:pPr>
      <w:r w:rsidRPr="00CB623E">
        <w:rPr>
          <w:rFonts w:ascii="Times New Roman" w:hAnsi="Times New Roman" w:cs="Times New Roman"/>
          <w:sz w:val="24"/>
          <w:szCs w:val="24"/>
        </w:rPr>
        <w:lastRenderedPageBreak/>
        <w:t>As licitantes vencedoras terão o prazo de 05 (cinco) dias úteis, contados a partir da convocação, para assinar a Ata de Registro de Preços.</w:t>
      </w:r>
    </w:p>
    <w:p w14:paraId="1F8DEFA5" w14:textId="77777777" w:rsidR="00413654" w:rsidRPr="00CB623E" w:rsidRDefault="00413654" w:rsidP="00363BC2">
      <w:pPr>
        <w:pStyle w:val="PargrafodaLista"/>
        <w:tabs>
          <w:tab w:val="left" w:pos="0"/>
        </w:tabs>
        <w:spacing w:after="0" w:line="240" w:lineRule="auto"/>
        <w:ind w:left="0"/>
        <w:rPr>
          <w:rFonts w:ascii="Times New Roman" w:eastAsia="Arial" w:hAnsi="Times New Roman" w:cs="Times New Roman"/>
          <w:sz w:val="16"/>
          <w:szCs w:val="16"/>
        </w:rPr>
      </w:pPr>
    </w:p>
    <w:p w14:paraId="5231737B" w14:textId="77777777" w:rsidR="000011CD" w:rsidRPr="00CB623E" w:rsidRDefault="000011CD" w:rsidP="00047003">
      <w:pPr>
        <w:pStyle w:val="PargrafodaLista"/>
        <w:numPr>
          <w:ilvl w:val="0"/>
          <w:numId w:val="48"/>
        </w:numPr>
        <w:tabs>
          <w:tab w:val="left" w:pos="0"/>
        </w:tabs>
        <w:spacing w:after="0" w:line="360" w:lineRule="auto"/>
        <w:ind w:left="0" w:firstLine="0"/>
        <w:rPr>
          <w:rFonts w:ascii="Times New Roman" w:eastAsia="Arial" w:hAnsi="Times New Roman" w:cs="Times New Roman"/>
          <w:sz w:val="24"/>
          <w:szCs w:val="24"/>
          <w:lang w:eastAsia="en-US"/>
        </w:rPr>
      </w:pPr>
      <w:r w:rsidRPr="00CB623E">
        <w:rPr>
          <w:rFonts w:ascii="Times New Roman" w:eastAsia="Arial" w:hAnsi="Times New Roman" w:cs="Times New Roman"/>
          <w:b/>
          <w:sz w:val="24"/>
          <w:szCs w:val="24"/>
          <w:lang w:eastAsia="en-US"/>
        </w:rPr>
        <w:t>DISPOSIÇÕES GERAIS</w:t>
      </w:r>
    </w:p>
    <w:p w14:paraId="4E280F4C"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71DFB9BD"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Cabe à CONTRATADA consultar com antecedência os seus fornecedores quanto aos prazos de entrega, não cabendo, portanto, a justificativa de atraso do fornecimento de materiais devido ao não cumprimento da entrega por parte dos fornecedores;</w:t>
      </w:r>
    </w:p>
    <w:p w14:paraId="2EE56D6A"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O preço total proposto deverá considerar a consecução do objeto da presente contratação, englobando todos os custos diretos e indiretos incidentes, inclusive a entrega e o descarregamento dos materiais, equipamentos e insumos;</w:t>
      </w:r>
    </w:p>
    <w:p w14:paraId="32A348C3" w14:textId="77777777" w:rsidR="000011CD" w:rsidRPr="00CB623E" w:rsidRDefault="000011CD" w:rsidP="00047003">
      <w:pPr>
        <w:numPr>
          <w:ilvl w:val="1"/>
          <w:numId w:val="48"/>
        </w:numPr>
        <w:tabs>
          <w:tab w:val="left" w:pos="0"/>
        </w:tabs>
        <w:spacing w:after="0" w:line="360" w:lineRule="auto"/>
        <w:ind w:left="0" w:firstLine="0"/>
        <w:contextualSpacing/>
        <w:rPr>
          <w:rFonts w:ascii="Times New Roman" w:eastAsia="Arial" w:hAnsi="Times New Roman" w:cs="Times New Roman"/>
          <w:sz w:val="24"/>
          <w:szCs w:val="24"/>
          <w:lang w:eastAsia="en-US"/>
        </w:rPr>
      </w:pPr>
      <w:r w:rsidRPr="00CB623E">
        <w:rPr>
          <w:rFonts w:ascii="Times New Roman" w:eastAsia="Arial" w:hAnsi="Times New Roman" w:cs="Times New Roman"/>
          <w:sz w:val="24"/>
          <w:szCs w:val="24"/>
          <w:lang w:eastAsia="en-US"/>
        </w:rPr>
        <w:t>Todos os avisos, notificações, solicitações e comunicados referentes à prestação do presente objeto só serão considerados entregues devidamente protocolados, enviados por telegrama, carta, fax ou meio digital;</w:t>
      </w:r>
    </w:p>
    <w:p w14:paraId="2366DB57" w14:textId="77777777" w:rsidR="00903B38" w:rsidRPr="0001443B" w:rsidRDefault="00903B38" w:rsidP="009A7B17">
      <w:pPr>
        <w:tabs>
          <w:tab w:val="left" w:pos="0"/>
        </w:tabs>
        <w:spacing w:after="0" w:line="360" w:lineRule="auto"/>
        <w:rPr>
          <w:rFonts w:ascii="Times New Roman" w:eastAsia="Arial" w:hAnsi="Times New Roman" w:cs="Times New Roman"/>
          <w:sz w:val="24"/>
          <w:szCs w:val="24"/>
          <w:lang w:eastAsia="en-US"/>
        </w:rPr>
      </w:pPr>
    </w:p>
    <w:sectPr w:rsidR="00903B38" w:rsidRPr="0001443B" w:rsidSect="009A7B17">
      <w:headerReference w:type="default" r:id="rId9"/>
      <w:pgSz w:w="11906" w:h="16838"/>
      <w:pgMar w:top="720" w:right="1133" w:bottom="720" w:left="1560" w:header="708" w:footer="44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F2D1" w14:textId="77777777" w:rsidR="008D6B03" w:rsidRDefault="008D6B03">
      <w:pPr>
        <w:spacing w:after="0" w:line="240" w:lineRule="auto"/>
      </w:pPr>
      <w:r>
        <w:separator/>
      </w:r>
    </w:p>
  </w:endnote>
  <w:endnote w:type="continuationSeparator" w:id="0">
    <w:p w14:paraId="3C053023" w14:textId="77777777" w:rsidR="008D6B03" w:rsidRDefault="008D6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01679" w14:textId="77777777" w:rsidR="008D6B03" w:rsidRDefault="008D6B03">
      <w:pPr>
        <w:spacing w:after="0" w:line="240" w:lineRule="auto"/>
      </w:pPr>
      <w:r>
        <w:separator/>
      </w:r>
    </w:p>
  </w:footnote>
  <w:footnote w:type="continuationSeparator" w:id="0">
    <w:p w14:paraId="617DB36C" w14:textId="77777777" w:rsidR="008D6B03" w:rsidRDefault="008D6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B8C2" w14:textId="53657458" w:rsidR="0038128B" w:rsidRDefault="009A7B17">
    <w:pPr>
      <w:pStyle w:val="Cabealho"/>
    </w:pPr>
    <w:r>
      <w:rPr>
        <w:noProof/>
        <w:sz w:val="20"/>
      </w:rPr>
      <w:drawing>
        <wp:anchor distT="0" distB="0" distL="114300" distR="114300" simplePos="0" relativeHeight="251659264" behindDoc="0" locked="0" layoutInCell="1" allowOverlap="1" wp14:anchorId="08031370" wp14:editId="00168BB7">
          <wp:simplePos x="0" y="0"/>
          <wp:positionH relativeFrom="margin">
            <wp:align>left</wp:align>
          </wp:positionH>
          <wp:positionV relativeFrom="paragraph">
            <wp:posOffset>-297180</wp:posOffset>
          </wp:positionV>
          <wp:extent cx="3533775" cy="828040"/>
          <wp:effectExtent l="0" t="0" r="9525" b="0"/>
          <wp:wrapSquare wrapText="bothSides"/>
          <wp:docPr id="612598185"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53377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8128B">
      <w:rPr>
        <w:noProof/>
        <w:sz w:val="20"/>
      </w:rPr>
      <mc:AlternateContent>
        <mc:Choice Requires="wps">
          <w:drawing>
            <wp:anchor distT="45720" distB="45720" distL="114300" distR="114300" simplePos="0" relativeHeight="251660288" behindDoc="1" locked="0" layoutInCell="1" allowOverlap="1" wp14:anchorId="511D237B" wp14:editId="20199D82">
              <wp:simplePos x="0" y="0"/>
              <wp:positionH relativeFrom="margin">
                <wp:align>right</wp:align>
              </wp:positionH>
              <wp:positionV relativeFrom="paragraph">
                <wp:posOffset>-344805</wp:posOffset>
              </wp:positionV>
              <wp:extent cx="1981200" cy="876935"/>
              <wp:effectExtent l="0" t="0" r="19050" b="18415"/>
              <wp:wrapNone/>
              <wp:docPr id="141394344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876935"/>
                      </a:xfrm>
                      <a:prstGeom prst="rect">
                        <a:avLst/>
                      </a:prstGeom>
                      <a:solidFill>
                        <a:srgbClr val="FFFFFF"/>
                      </a:solidFill>
                      <a:ln w="9525">
                        <a:solidFill>
                          <a:srgbClr val="000000"/>
                        </a:solidFill>
                        <a:miter lim="800000"/>
                        <a:headEnd/>
                        <a:tailEnd/>
                      </a:ln>
                    </wps:spPr>
                    <wps:txbx>
                      <w:txbxContent>
                        <w:p w14:paraId="67091BF6" w14:textId="77777777" w:rsidR="0038128B" w:rsidRPr="0064441B" w:rsidRDefault="0038128B" w:rsidP="0038128B">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3829172" w14:textId="77777777" w:rsidR="0038128B" w:rsidRPr="00686980" w:rsidRDefault="0038128B" w:rsidP="0038128B">
                          <w:pPr>
                            <w:spacing w:line="360" w:lineRule="auto"/>
                            <w:rPr>
                              <w:rFonts w:ascii="Arial" w:hAnsi="Arial" w:cs="Arial"/>
                              <w:sz w:val="18"/>
                              <w:szCs w:val="18"/>
                            </w:rPr>
                          </w:pPr>
                          <w:r>
                            <w:rPr>
                              <w:rFonts w:ascii="Arial" w:hAnsi="Arial" w:cs="Arial"/>
                              <w:sz w:val="18"/>
                              <w:szCs w:val="18"/>
                            </w:rPr>
                            <w:t>Processo nº 23.555/2025</w:t>
                          </w:r>
                        </w:p>
                        <w:p w14:paraId="23129D87" w14:textId="77777777" w:rsidR="0038128B" w:rsidRDefault="0038128B" w:rsidP="0038128B">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C321917" w14:textId="77777777" w:rsidR="0038128B" w:rsidRPr="0064441B" w:rsidRDefault="0038128B" w:rsidP="0038128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2" o:spid="_x0000_s1026" type="#_x0000_t202" style="position:absolute;left:0;text-align:left;margin-left:104.8pt;margin-top:-27.15pt;width:156pt;height:69.05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">
              <v:textbox>
                <w:txbxContent>
                  <w:p w14:paraId="67091BF6" w14:textId="77777777" w:rsidR="0038128B" w:rsidRPr="0064441B" w:rsidRDefault="0038128B" w:rsidP="0038128B">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3829172" w14:textId="77777777" w:rsidR="0038128B" w:rsidRPr="00686980" w:rsidRDefault="0038128B" w:rsidP="0038128B">
                    <w:pPr>
                      <w:spacing w:line="360" w:lineRule="auto"/>
                      <w:rPr>
                        <w:rFonts w:ascii="Arial" w:hAnsi="Arial" w:cs="Arial"/>
                        <w:sz w:val="18"/>
                        <w:szCs w:val="18"/>
                      </w:rPr>
                    </w:pPr>
                    <w:r>
                      <w:rPr>
                        <w:rFonts w:ascii="Arial" w:hAnsi="Arial" w:cs="Arial"/>
                        <w:sz w:val="18"/>
                        <w:szCs w:val="18"/>
                      </w:rPr>
                      <w:t>Processo nº 23.555/2025</w:t>
                    </w:r>
                  </w:p>
                  <w:p w14:paraId="23129D87" w14:textId="77777777" w:rsidR="0038128B" w:rsidRDefault="0038128B" w:rsidP="0038128B">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C321917" w14:textId="77777777" w:rsidR="0038128B" w:rsidRPr="0064441B" w:rsidRDefault="0038128B" w:rsidP="0038128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p>
  <w:p w14:paraId="40777829" w14:textId="77777777" w:rsidR="0038128B" w:rsidRDefault="0038128B">
    <w:pPr>
      <w:pStyle w:val="Cabealho"/>
    </w:pPr>
  </w:p>
  <w:p w14:paraId="1C0BBD44" w14:textId="19B0420F" w:rsidR="0038128B" w:rsidRDefault="0038128B">
    <w:pPr>
      <w:pStyle w:val="Cabealho"/>
    </w:pPr>
  </w:p>
  <w:p w14:paraId="0B58EB3F" w14:textId="5B656F03" w:rsidR="0038128B" w:rsidRDefault="003812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455EB"/>
    <w:multiLevelType w:val="multilevel"/>
    <w:tmpl w:val="AAFE3CF0"/>
    <w:lvl w:ilvl="0">
      <w:start w:val="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5B17F3"/>
    <w:multiLevelType w:val="multilevel"/>
    <w:tmpl w:val="1B1AF4F2"/>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A7105B"/>
    <w:multiLevelType w:val="multilevel"/>
    <w:tmpl w:val="2BB65C16"/>
    <w:lvl w:ilvl="0">
      <w:start w:val="1"/>
      <w:numFmt w:val="decimal"/>
      <w:lvlText w:val="%1."/>
      <w:lvlJc w:val="left"/>
      <w:pPr>
        <w:ind w:left="360" w:hanging="360"/>
      </w:pPr>
      <w:rPr>
        <w:b/>
        <w:bCs w:val="0"/>
      </w:rPr>
    </w:lvl>
    <w:lvl w:ilvl="1">
      <w:start w:val="1"/>
      <w:numFmt w:val="decimal"/>
      <w:lvlText w:val="%1.%2."/>
      <w:lvlJc w:val="left"/>
      <w:pPr>
        <w:ind w:left="574" w:hanging="432"/>
      </w:pPr>
      <w:rPr>
        <w:b/>
        <w:bCs/>
        <w:sz w:val="24"/>
        <w:szCs w:val="24"/>
      </w:rPr>
    </w:lvl>
    <w:lvl w:ilvl="2">
      <w:start w:val="1"/>
      <w:numFmt w:val="decimal"/>
      <w:lvlText w:val="%1.%2.%3."/>
      <w:lvlJc w:val="left"/>
      <w:pPr>
        <w:ind w:left="2773" w:hanging="504"/>
      </w:pPr>
      <w:rPr>
        <w:b/>
        <w:bCs/>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474EED"/>
    <w:multiLevelType w:val="hybridMultilevel"/>
    <w:tmpl w:val="33025B6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98B0EEB"/>
    <w:multiLevelType w:val="multilevel"/>
    <w:tmpl w:val="F74CB316"/>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DF0C7E"/>
    <w:multiLevelType w:val="multilevel"/>
    <w:tmpl w:val="CD9C7AD8"/>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C9397F"/>
    <w:multiLevelType w:val="multilevel"/>
    <w:tmpl w:val="1D5EE9C0"/>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322932"/>
    <w:multiLevelType w:val="multilevel"/>
    <w:tmpl w:val="495A7D8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AA255A"/>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924CA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FE447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B10D5C"/>
    <w:multiLevelType w:val="hybridMultilevel"/>
    <w:tmpl w:val="6FD832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5A7144"/>
    <w:multiLevelType w:val="multilevel"/>
    <w:tmpl w:val="EB941EE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21" w15:restartNumberingAfterBreak="0">
    <w:nsid w:val="54161B28"/>
    <w:multiLevelType w:val="multilevel"/>
    <w:tmpl w:val="E434296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0D2B7E"/>
    <w:multiLevelType w:val="multilevel"/>
    <w:tmpl w:val="E794C5F0"/>
    <w:lvl w:ilvl="0">
      <w:start w:val="5"/>
      <w:numFmt w:val="decimal"/>
      <w:lvlText w:val="%1."/>
      <w:lvlJc w:val="left"/>
      <w:pPr>
        <w:ind w:left="360" w:hanging="360"/>
      </w:pPr>
      <w:rPr>
        <w:rFonts w:hint="default"/>
        <w:b/>
        <w:bCs w:val="0"/>
      </w:rPr>
    </w:lvl>
    <w:lvl w:ilvl="1">
      <w:start w:val="1"/>
      <w:numFmt w:val="decimal"/>
      <w:lvlText w:val="%1.%2."/>
      <w:lvlJc w:val="left"/>
      <w:pPr>
        <w:ind w:left="1567" w:hanging="432"/>
      </w:pPr>
      <w:rPr>
        <w:rFonts w:hint="default"/>
        <w:b/>
        <w:bCs/>
        <w:sz w:val="24"/>
        <w:szCs w:val="24"/>
      </w:rPr>
    </w:lvl>
    <w:lvl w:ilvl="2">
      <w:start w:val="1"/>
      <w:numFmt w:val="decimal"/>
      <w:lvlText w:val="%1.%2.%3."/>
      <w:lvlJc w:val="left"/>
      <w:pPr>
        <w:ind w:left="2773"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257652"/>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A6A5B7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835F32"/>
    <w:multiLevelType w:val="multilevel"/>
    <w:tmpl w:val="A9E65D1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3A4BB8"/>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12B728A"/>
    <w:multiLevelType w:val="multilevel"/>
    <w:tmpl w:val="E9420674"/>
    <w:lvl w:ilvl="0">
      <w:start w:val="5"/>
      <w:numFmt w:val="decimal"/>
      <w:lvlText w:val="%1."/>
      <w:lvlJc w:val="left"/>
      <w:pPr>
        <w:ind w:left="360" w:hanging="360"/>
      </w:pPr>
      <w:rPr>
        <w:rFonts w:hint="default"/>
      </w:rPr>
    </w:lvl>
    <w:lvl w:ilvl="1">
      <w:start w:val="4"/>
      <w:numFmt w:val="decimal"/>
      <w:lvlText w:val="%1.%2."/>
      <w:lvlJc w:val="left"/>
      <w:pPr>
        <w:ind w:left="-77"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591" w:hanging="72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82" w:hanging="1440"/>
      </w:pPr>
      <w:rPr>
        <w:rFonts w:hint="default"/>
      </w:rPr>
    </w:lvl>
    <w:lvl w:ilvl="7">
      <w:start w:val="1"/>
      <w:numFmt w:val="decimal"/>
      <w:lvlText w:val="%1.%2.%3.%4.%5.%6.%7.%8."/>
      <w:lvlJc w:val="left"/>
      <w:pPr>
        <w:ind w:left="-1619" w:hanging="1440"/>
      </w:pPr>
      <w:rPr>
        <w:rFonts w:hint="default"/>
      </w:rPr>
    </w:lvl>
    <w:lvl w:ilvl="8">
      <w:start w:val="1"/>
      <w:numFmt w:val="decimal"/>
      <w:lvlText w:val="%1.%2.%3.%4.%5.%6.%7.%8.%9."/>
      <w:lvlJc w:val="left"/>
      <w:pPr>
        <w:ind w:left="-1696" w:hanging="1800"/>
      </w:pPr>
      <w:rPr>
        <w:rFonts w:hint="default"/>
      </w:rPr>
    </w:lvl>
  </w:abstractNum>
  <w:abstractNum w:abstractNumId="31" w15:restartNumberingAfterBreak="0">
    <w:nsid w:val="613167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F8677D"/>
    <w:multiLevelType w:val="multilevel"/>
    <w:tmpl w:val="EDA67FE6"/>
    <w:lvl w:ilvl="0">
      <w:start w:val="1"/>
      <w:numFmt w:val="decimal"/>
      <w:lvlText w:val="%1."/>
      <w:lvlJc w:val="left"/>
      <w:pPr>
        <w:ind w:left="360" w:hanging="360"/>
      </w:pPr>
      <w:rPr>
        <w:rFonts w:hint="default"/>
        <w:b/>
        <w:bCs/>
      </w:rPr>
    </w:lvl>
    <w:lvl w:ilvl="1">
      <w:start w:val="1"/>
      <w:numFmt w:val="decimal"/>
      <w:lvlText w:val="%1.%2."/>
      <w:lvlJc w:val="left"/>
      <w:pPr>
        <w:ind w:left="1283"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4CE71F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36" w15:restartNumberingAfterBreak="0">
    <w:nsid w:val="69A34D2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771CFA"/>
    <w:multiLevelType w:val="multilevel"/>
    <w:tmpl w:val="BCE6648A"/>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AC658B"/>
    <w:multiLevelType w:val="multilevel"/>
    <w:tmpl w:val="96D8538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1EF338C"/>
    <w:multiLevelType w:val="hybridMultilevel"/>
    <w:tmpl w:val="84CE6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2E34D12"/>
    <w:multiLevelType w:val="hybridMultilevel"/>
    <w:tmpl w:val="85E64352"/>
    <w:lvl w:ilvl="0" w:tplc="975C2114">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4"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9D95A09"/>
    <w:multiLevelType w:val="multilevel"/>
    <w:tmpl w:val="85F6A03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45"/>
  </w:num>
  <w:num w:numId="2" w16cid:durableId="1485508170">
    <w:abstractNumId w:val="41"/>
  </w:num>
  <w:num w:numId="3" w16cid:durableId="292294877">
    <w:abstractNumId w:val="8"/>
  </w:num>
  <w:num w:numId="4" w16cid:durableId="1516267151">
    <w:abstractNumId w:val="29"/>
  </w:num>
  <w:num w:numId="5" w16cid:durableId="293563220">
    <w:abstractNumId w:val="1"/>
  </w:num>
  <w:num w:numId="6" w16cid:durableId="1649629331">
    <w:abstractNumId w:val="3"/>
  </w:num>
  <w:num w:numId="7" w16cid:durableId="1264651745">
    <w:abstractNumId w:val="6"/>
  </w:num>
  <w:num w:numId="8" w16cid:durableId="1901941765">
    <w:abstractNumId w:val="28"/>
  </w:num>
  <w:num w:numId="9" w16cid:durableId="257561944">
    <w:abstractNumId w:val="5"/>
  </w:num>
  <w:num w:numId="10" w16cid:durableId="508982642">
    <w:abstractNumId w:val="7"/>
  </w:num>
  <w:num w:numId="11" w16cid:durableId="1679231391">
    <w:abstractNumId w:val="38"/>
  </w:num>
  <w:num w:numId="12" w16cid:durableId="1962612125">
    <w:abstractNumId w:val="35"/>
  </w:num>
  <w:num w:numId="13" w16cid:durableId="9170103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15"/>
  </w:num>
  <w:num w:numId="17" w16cid:durableId="1004091140">
    <w:abstractNumId w:val="22"/>
  </w:num>
  <w:num w:numId="18" w16cid:durableId="2095272775">
    <w:abstractNumId w:val="47"/>
  </w:num>
  <w:num w:numId="19" w16cid:durableId="2094933816">
    <w:abstractNumId w:val="44"/>
  </w:num>
  <w:num w:numId="20" w16cid:durableId="1907497607">
    <w:abstractNumId w:val="33"/>
  </w:num>
  <w:num w:numId="21" w16cid:durableId="1820461222">
    <w:abstractNumId w:val="40"/>
  </w:num>
  <w:num w:numId="22" w16cid:durableId="633028558">
    <w:abstractNumId w:val="16"/>
  </w:num>
  <w:num w:numId="23" w16cid:durableId="684408255">
    <w:abstractNumId w:val="32"/>
  </w:num>
  <w:num w:numId="24" w16cid:durableId="897127263">
    <w:abstractNumId w:val="21"/>
  </w:num>
  <w:num w:numId="25" w16cid:durableId="497577720">
    <w:abstractNumId w:val="39"/>
  </w:num>
  <w:num w:numId="26" w16cid:durableId="2019192877">
    <w:abstractNumId w:val="12"/>
  </w:num>
  <w:num w:numId="27" w16cid:durableId="183784376">
    <w:abstractNumId w:val="11"/>
  </w:num>
  <w:num w:numId="28" w16cid:durableId="441729700">
    <w:abstractNumId w:val="26"/>
  </w:num>
  <w:num w:numId="29" w16cid:durableId="995766198">
    <w:abstractNumId w:val="2"/>
  </w:num>
  <w:num w:numId="30" w16cid:durableId="1037969893">
    <w:abstractNumId w:val="14"/>
  </w:num>
  <w:num w:numId="31" w16cid:durableId="393050162">
    <w:abstractNumId w:val="0"/>
  </w:num>
  <w:num w:numId="32" w16cid:durableId="1055737082">
    <w:abstractNumId w:val="37"/>
  </w:num>
  <w:num w:numId="33" w16cid:durableId="1642880213">
    <w:abstractNumId w:val="9"/>
  </w:num>
  <w:num w:numId="34" w16cid:durableId="787314187">
    <w:abstractNumId w:val="27"/>
  </w:num>
  <w:num w:numId="35" w16cid:durableId="1904027484">
    <w:abstractNumId w:val="17"/>
  </w:num>
  <w:num w:numId="36" w16cid:durableId="1716734752">
    <w:abstractNumId w:val="25"/>
  </w:num>
  <w:num w:numId="37" w16cid:durableId="1887719594">
    <w:abstractNumId w:val="24"/>
  </w:num>
  <w:num w:numId="38" w16cid:durableId="206917466">
    <w:abstractNumId w:val="46"/>
  </w:num>
  <w:num w:numId="39" w16cid:durableId="768353053">
    <w:abstractNumId w:val="18"/>
  </w:num>
  <w:num w:numId="40" w16cid:durableId="1213619965">
    <w:abstractNumId w:val="43"/>
  </w:num>
  <w:num w:numId="41" w16cid:durableId="1258367447">
    <w:abstractNumId w:val="36"/>
  </w:num>
  <w:num w:numId="42" w16cid:durableId="660155787">
    <w:abstractNumId w:val="31"/>
  </w:num>
  <w:num w:numId="43" w16cid:durableId="611279620">
    <w:abstractNumId w:val="34"/>
  </w:num>
  <w:num w:numId="44" w16cid:durableId="598607885">
    <w:abstractNumId w:val="4"/>
  </w:num>
  <w:num w:numId="45" w16cid:durableId="1218005498">
    <w:abstractNumId w:val="20"/>
  </w:num>
  <w:num w:numId="46" w16cid:durableId="81873833">
    <w:abstractNumId w:val="42"/>
  </w:num>
  <w:num w:numId="47" w16cid:durableId="1940945057">
    <w:abstractNumId w:val="30"/>
  </w:num>
  <w:num w:numId="48" w16cid:durableId="1028677289">
    <w:abstractNumId w:val="23"/>
  </w:num>
  <w:num w:numId="49" w16cid:durableId="1279417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234"/>
    <w:rsid w:val="000011CD"/>
    <w:rsid w:val="0001443B"/>
    <w:rsid w:val="0002140A"/>
    <w:rsid w:val="000273B9"/>
    <w:rsid w:val="00041B35"/>
    <w:rsid w:val="00047003"/>
    <w:rsid w:val="0005123D"/>
    <w:rsid w:val="00060F47"/>
    <w:rsid w:val="000715BB"/>
    <w:rsid w:val="00080102"/>
    <w:rsid w:val="000D019C"/>
    <w:rsid w:val="000D715A"/>
    <w:rsid w:val="000E4549"/>
    <w:rsid w:val="000E6528"/>
    <w:rsid w:val="000E68E7"/>
    <w:rsid w:val="000F2F15"/>
    <w:rsid w:val="0010383F"/>
    <w:rsid w:val="00133AA2"/>
    <w:rsid w:val="001352AF"/>
    <w:rsid w:val="00141E7F"/>
    <w:rsid w:val="00161374"/>
    <w:rsid w:val="001C0939"/>
    <w:rsid w:val="001C178F"/>
    <w:rsid w:val="001D43E2"/>
    <w:rsid w:val="001E4674"/>
    <w:rsid w:val="001F4410"/>
    <w:rsid w:val="00200540"/>
    <w:rsid w:val="002032F1"/>
    <w:rsid w:val="00211A9B"/>
    <w:rsid w:val="00222AEA"/>
    <w:rsid w:val="00256F01"/>
    <w:rsid w:val="00267208"/>
    <w:rsid w:val="00270AD0"/>
    <w:rsid w:val="00287E5B"/>
    <w:rsid w:val="0029790A"/>
    <w:rsid w:val="002A2AA7"/>
    <w:rsid w:val="002F38DE"/>
    <w:rsid w:val="002F6C8D"/>
    <w:rsid w:val="00314555"/>
    <w:rsid w:val="00320A09"/>
    <w:rsid w:val="0033089B"/>
    <w:rsid w:val="00345CFC"/>
    <w:rsid w:val="00357770"/>
    <w:rsid w:val="00363BC2"/>
    <w:rsid w:val="00364234"/>
    <w:rsid w:val="0036653E"/>
    <w:rsid w:val="00376723"/>
    <w:rsid w:val="0038128B"/>
    <w:rsid w:val="003A781C"/>
    <w:rsid w:val="003A7BB7"/>
    <w:rsid w:val="003C10F0"/>
    <w:rsid w:val="003C418A"/>
    <w:rsid w:val="003C44FA"/>
    <w:rsid w:val="003D15CE"/>
    <w:rsid w:val="003E014A"/>
    <w:rsid w:val="003E328A"/>
    <w:rsid w:val="003E6455"/>
    <w:rsid w:val="003F607E"/>
    <w:rsid w:val="00413654"/>
    <w:rsid w:val="00413BD4"/>
    <w:rsid w:val="00416DFA"/>
    <w:rsid w:val="00432B97"/>
    <w:rsid w:val="00442412"/>
    <w:rsid w:val="004861BC"/>
    <w:rsid w:val="004C1F45"/>
    <w:rsid w:val="004E7CF2"/>
    <w:rsid w:val="004E7F97"/>
    <w:rsid w:val="004F369C"/>
    <w:rsid w:val="0050060C"/>
    <w:rsid w:val="00511EAD"/>
    <w:rsid w:val="00532B1F"/>
    <w:rsid w:val="0054253F"/>
    <w:rsid w:val="00593AAF"/>
    <w:rsid w:val="005B209A"/>
    <w:rsid w:val="005E28AB"/>
    <w:rsid w:val="00615258"/>
    <w:rsid w:val="00625040"/>
    <w:rsid w:val="00645544"/>
    <w:rsid w:val="00682DCD"/>
    <w:rsid w:val="00693CFA"/>
    <w:rsid w:val="006C5683"/>
    <w:rsid w:val="006F442F"/>
    <w:rsid w:val="006F6EBB"/>
    <w:rsid w:val="0070047D"/>
    <w:rsid w:val="007079C0"/>
    <w:rsid w:val="007232F3"/>
    <w:rsid w:val="00724D5D"/>
    <w:rsid w:val="00752E6D"/>
    <w:rsid w:val="00762D97"/>
    <w:rsid w:val="00771324"/>
    <w:rsid w:val="00776D75"/>
    <w:rsid w:val="007A5348"/>
    <w:rsid w:val="007B156E"/>
    <w:rsid w:val="007D5944"/>
    <w:rsid w:val="007F6963"/>
    <w:rsid w:val="0080074B"/>
    <w:rsid w:val="0083318F"/>
    <w:rsid w:val="008349F6"/>
    <w:rsid w:val="00850142"/>
    <w:rsid w:val="00850A9E"/>
    <w:rsid w:val="00852E36"/>
    <w:rsid w:val="008657CC"/>
    <w:rsid w:val="00873303"/>
    <w:rsid w:val="00873D5A"/>
    <w:rsid w:val="00874408"/>
    <w:rsid w:val="00876810"/>
    <w:rsid w:val="008B630E"/>
    <w:rsid w:val="008C0496"/>
    <w:rsid w:val="008C5212"/>
    <w:rsid w:val="008D6B03"/>
    <w:rsid w:val="008F2319"/>
    <w:rsid w:val="00903B38"/>
    <w:rsid w:val="009100FB"/>
    <w:rsid w:val="00940E21"/>
    <w:rsid w:val="009623F4"/>
    <w:rsid w:val="009A031F"/>
    <w:rsid w:val="009A5806"/>
    <w:rsid w:val="009A7B17"/>
    <w:rsid w:val="009B6306"/>
    <w:rsid w:val="009C2D29"/>
    <w:rsid w:val="009F4095"/>
    <w:rsid w:val="00A052F8"/>
    <w:rsid w:val="00A179E2"/>
    <w:rsid w:val="00A269D4"/>
    <w:rsid w:val="00A34AA1"/>
    <w:rsid w:val="00A611A3"/>
    <w:rsid w:val="00A71992"/>
    <w:rsid w:val="00A84AEF"/>
    <w:rsid w:val="00AB33E6"/>
    <w:rsid w:val="00AB7C32"/>
    <w:rsid w:val="00AC5379"/>
    <w:rsid w:val="00AD445E"/>
    <w:rsid w:val="00AE3B43"/>
    <w:rsid w:val="00AF0D16"/>
    <w:rsid w:val="00B13E53"/>
    <w:rsid w:val="00B236B1"/>
    <w:rsid w:val="00B26271"/>
    <w:rsid w:val="00B27397"/>
    <w:rsid w:val="00B40972"/>
    <w:rsid w:val="00B42010"/>
    <w:rsid w:val="00B831CE"/>
    <w:rsid w:val="00B87CB1"/>
    <w:rsid w:val="00B95D2B"/>
    <w:rsid w:val="00B9710B"/>
    <w:rsid w:val="00BB4D58"/>
    <w:rsid w:val="00BD7AD4"/>
    <w:rsid w:val="00BE02FF"/>
    <w:rsid w:val="00BE41EC"/>
    <w:rsid w:val="00C45F07"/>
    <w:rsid w:val="00C82689"/>
    <w:rsid w:val="00C874EB"/>
    <w:rsid w:val="00C956B0"/>
    <w:rsid w:val="00CA5C17"/>
    <w:rsid w:val="00CA79AB"/>
    <w:rsid w:val="00CB32F8"/>
    <w:rsid w:val="00CB623E"/>
    <w:rsid w:val="00CB7666"/>
    <w:rsid w:val="00CC64E0"/>
    <w:rsid w:val="00CE7BB6"/>
    <w:rsid w:val="00CF1C0D"/>
    <w:rsid w:val="00D37E76"/>
    <w:rsid w:val="00D42C80"/>
    <w:rsid w:val="00D56A6C"/>
    <w:rsid w:val="00DA5199"/>
    <w:rsid w:val="00DB7AE8"/>
    <w:rsid w:val="00DC6E1A"/>
    <w:rsid w:val="00DD7854"/>
    <w:rsid w:val="00DE1AFA"/>
    <w:rsid w:val="00DF2C04"/>
    <w:rsid w:val="00DF3667"/>
    <w:rsid w:val="00E0185F"/>
    <w:rsid w:val="00E17A2D"/>
    <w:rsid w:val="00E3636C"/>
    <w:rsid w:val="00E40B30"/>
    <w:rsid w:val="00E46365"/>
    <w:rsid w:val="00E65D8B"/>
    <w:rsid w:val="00E6696F"/>
    <w:rsid w:val="00E72949"/>
    <w:rsid w:val="00E748D1"/>
    <w:rsid w:val="00EA1999"/>
    <w:rsid w:val="00EB1F19"/>
    <w:rsid w:val="00EB475A"/>
    <w:rsid w:val="00F157B8"/>
    <w:rsid w:val="00F36DEA"/>
    <w:rsid w:val="00F41E3A"/>
    <w:rsid w:val="00F43CEE"/>
    <w:rsid w:val="00F44F59"/>
    <w:rsid w:val="00F47369"/>
    <w:rsid w:val="00F767D1"/>
    <w:rsid w:val="00F825E4"/>
    <w:rsid w:val="00F83743"/>
    <w:rsid w:val="00F8392F"/>
    <w:rsid w:val="00FA12A5"/>
    <w:rsid w:val="00FE16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CCBC7"/>
  <w15:docId w15:val="{984C5584-5A59-4254-AAB0-D5703C44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700"/>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Cabealho">
    <w:name w:val="header"/>
    <w:basedOn w:val="Normal"/>
    <w:link w:val="CabealhoChar"/>
    <w:uiPriority w:val="99"/>
    <w:unhideWhenUsed/>
    <w:rsid w:val="00C83A2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83A25"/>
  </w:style>
  <w:style w:type="paragraph" w:styleId="Rodap">
    <w:name w:val="footer"/>
    <w:basedOn w:val="Normal"/>
    <w:link w:val="RodapChar"/>
    <w:uiPriority w:val="99"/>
    <w:unhideWhenUsed/>
    <w:rsid w:val="00C83A25"/>
    <w:pPr>
      <w:tabs>
        <w:tab w:val="center" w:pos="4252"/>
        <w:tab w:val="right" w:pos="8504"/>
      </w:tabs>
      <w:spacing w:after="0" w:line="240" w:lineRule="auto"/>
    </w:pPr>
  </w:style>
  <w:style w:type="character" w:customStyle="1" w:styleId="RodapChar">
    <w:name w:val="Rodapé Char"/>
    <w:basedOn w:val="Fontepargpadro"/>
    <w:link w:val="Rodap"/>
    <w:uiPriority w:val="99"/>
    <w:rsid w:val="00C83A25"/>
  </w:style>
  <w:style w:type="paragraph" w:styleId="Textodebalo">
    <w:name w:val="Balloon Text"/>
    <w:basedOn w:val="Normal"/>
    <w:link w:val="TextodebaloChar"/>
    <w:uiPriority w:val="99"/>
    <w:semiHidden/>
    <w:unhideWhenUsed/>
    <w:rsid w:val="004C709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C709A"/>
    <w:rPr>
      <w:rFonts w:ascii="Tahoma" w:hAnsi="Tahoma" w:cs="Tahoma"/>
      <w:sz w:val="16"/>
      <w:szCs w:val="16"/>
    </w:rPr>
  </w:style>
  <w:style w:type="paragraph" w:styleId="Reviso">
    <w:name w:val="Revision"/>
    <w:hidden/>
    <w:uiPriority w:val="99"/>
    <w:semiHidden/>
    <w:rsid w:val="00712BBB"/>
    <w:pPr>
      <w:spacing w:after="0" w:line="240" w:lineRule="auto"/>
      <w:jc w:val="left"/>
    </w:pPr>
  </w:style>
  <w:style w:type="character" w:styleId="Hyperlink">
    <w:name w:val="Hyperlink"/>
    <w:basedOn w:val="Fontepargpadro"/>
    <w:uiPriority w:val="99"/>
    <w:unhideWhenUsed/>
    <w:rsid w:val="00D475EA"/>
    <w:rPr>
      <w:color w:val="0000FF"/>
      <w:u w:val="single"/>
    </w:rPr>
  </w:style>
  <w:style w:type="paragraph" w:styleId="PargrafodaLista">
    <w:name w:val="List Paragraph"/>
    <w:aliases w:val="Item2,Segundo,DOCs_Paragrafo-1,Paragrafo,Lista Colorida - Ênfase 11,Tópico1,List I Paragraph"/>
    <w:basedOn w:val="Normal"/>
    <w:link w:val="PargrafodaListaChar"/>
    <w:uiPriority w:val="34"/>
    <w:qFormat/>
    <w:rsid w:val="007714CB"/>
    <w:pPr>
      <w:ind w:left="720"/>
      <w:contextualSpacing/>
    </w:pPr>
  </w:style>
  <w:style w:type="character" w:customStyle="1" w:styleId="fontstyle01">
    <w:name w:val="fontstyle01"/>
    <w:basedOn w:val="Fontepargpadro"/>
    <w:rsid w:val="00AA3813"/>
    <w:rPr>
      <w:rFonts w:ascii="TimesNewRomanPSMT" w:hAnsi="TimesNewRomanPSMT" w:hint="default"/>
      <w:b w:val="0"/>
      <w:bCs w:val="0"/>
      <w:i w:val="0"/>
      <w:iCs w:val="0"/>
      <w:color w:val="000000"/>
      <w:sz w:val="20"/>
      <w:szCs w:val="20"/>
    </w:rPr>
  </w:style>
  <w:style w:type="character" w:customStyle="1" w:styleId="fontstyle21">
    <w:name w:val="fontstyle21"/>
    <w:basedOn w:val="Fontepargpadro"/>
    <w:rsid w:val="00AA3813"/>
    <w:rPr>
      <w:rFonts w:ascii="TimesNewRomanPS-BoldMT" w:hAnsi="TimesNewRomanPS-BoldMT" w:hint="default"/>
      <w:b/>
      <w:bCs/>
      <w:i w:val="0"/>
      <w:iCs w:val="0"/>
      <w:color w:val="000000"/>
      <w:sz w:val="20"/>
      <w:szCs w:val="20"/>
    </w:rPr>
  </w:style>
  <w:style w:type="table" w:styleId="Tabelacomgrade">
    <w:name w:val="Table Grid"/>
    <w:basedOn w:val="Tabelanormal"/>
    <w:uiPriority w:val="59"/>
    <w:rsid w:val="00E32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3030A1"/>
    <w:pPr>
      <w:spacing w:after="0" w:line="240" w:lineRule="auto"/>
      <w:jc w:val="left"/>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Semlista1">
    <w:name w:val="Sem lista1"/>
    <w:next w:val="Semlista"/>
    <w:uiPriority w:val="99"/>
    <w:semiHidden/>
    <w:unhideWhenUsed/>
    <w:rsid w:val="000011CD"/>
  </w:style>
  <w:style w:type="character" w:customStyle="1" w:styleId="Ttulo1Char">
    <w:name w:val="Título 1 Char"/>
    <w:basedOn w:val="Fontepargpadro"/>
    <w:link w:val="Ttulo1"/>
    <w:uiPriority w:val="9"/>
    <w:rsid w:val="000011CD"/>
    <w:rPr>
      <w:b/>
      <w:sz w:val="48"/>
      <w:szCs w:val="48"/>
    </w:rPr>
  </w:style>
  <w:style w:type="character" w:customStyle="1" w:styleId="Ttulo4Char">
    <w:name w:val="Título 4 Char"/>
    <w:basedOn w:val="Fontepargpadro"/>
    <w:link w:val="Ttulo4"/>
    <w:uiPriority w:val="9"/>
    <w:semiHidden/>
    <w:rsid w:val="000011CD"/>
    <w:rPr>
      <w:b/>
      <w:sz w:val="24"/>
      <w:szCs w:val="24"/>
    </w:rPr>
  </w:style>
  <w:style w:type="character" w:customStyle="1" w:styleId="SemEspaamentoChar">
    <w:name w:val="Sem Espaçamento Char"/>
    <w:link w:val="SemEspaamento"/>
    <w:uiPriority w:val="1"/>
    <w:locked/>
    <w:rsid w:val="000011CD"/>
  </w:style>
  <w:style w:type="paragraph" w:customStyle="1" w:styleId="Default">
    <w:name w:val="Default"/>
    <w:rsid w:val="000011CD"/>
    <w:pPr>
      <w:autoSpaceDE w:val="0"/>
      <w:autoSpaceDN w:val="0"/>
      <w:adjustRightInd w:val="0"/>
      <w:spacing w:after="0" w:line="240" w:lineRule="auto"/>
      <w:jc w:val="left"/>
    </w:pPr>
    <w:rPr>
      <w:rFonts w:ascii="Verdana" w:hAnsi="Verdana" w:cs="Verdana"/>
      <w:color w:val="000000"/>
      <w:sz w:val="24"/>
      <w:szCs w:val="24"/>
      <w:lang w:eastAsia="en-US"/>
    </w:rPr>
  </w:style>
  <w:style w:type="table" w:customStyle="1" w:styleId="Tabelacomgrade1">
    <w:name w:val="Tabela com grade1"/>
    <w:basedOn w:val="Tabelanormal"/>
    <w:next w:val="Tabelacomgrade"/>
    <w:uiPriority w:val="59"/>
    <w:rsid w:val="000011CD"/>
    <w:pPr>
      <w:spacing w:after="0" w:line="240" w:lineRule="auto"/>
      <w:jc w:val="left"/>
    </w:pPr>
    <w:rPr>
      <w:rFonts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0011CD"/>
    <w:pPr>
      <w:spacing w:after="0" w:line="240" w:lineRule="auto"/>
      <w:jc w:val="left"/>
    </w:pPr>
    <w:rPr>
      <w:rFonts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0011CD"/>
    <w:pPr>
      <w:numPr>
        <w:numId w:val="15"/>
      </w:numPr>
      <w:tabs>
        <w:tab w:val="num" w:pos="360"/>
        <w:tab w:val="left" w:pos="567"/>
      </w:tabs>
      <w:spacing w:before="240" w:after="0" w:line="240" w:lineRule="auto"/>
      <w:ind w:left="0" w:firstLine="0"/>
    </w:pPr>
    <w:rPr>
      <w:rFonts w:ascii="Arial" w:eastAsia="Times New Roman" w:hAnsi="Arial" w:cs="Arial"/>
      <w:bCs/>
      <w:sz w:val="20"/>
      <w:szCs w:val="20"/>
    </w:rPr>
  </w:style>
  <w:style w:type="character" w:customStyle="1" w:styleId="Nivel2Char">
    <w:name w:val="Nivel 2 Char"/>
    <w:basedOn w:val="Fontepargpadro"/>
    <w:link w:val="Nivel2"/>
    <w:locked/>
    <w:rsid w:val="000011CD"/>
    <w:rPr>
      <w:rFonts w:ascii="Arial" w:hAnsi="Arial" w:cs="Arial"/>
      <w:color w:val="000000"/>
    </w:rPr>
  </w:style>
  <w:style w:type="paragraph" w:customStyle="1" w:styleId="Nivel2">
    <w:name w:val="Nivel 2"/>
    <w:basedOn w:val="Normal"/>
    <w:link w:val="Nivel2Char"/>
    <w:qFormat/>
    <w:rsid w:val="000011CD"/>
    <w:pPr>
      <w:numPr>
        <w:ilvl w:val="1"/>
        <w:numId w:val="15"/>
      </w:numPr>
      <w:spacing w:before="120" w:after="120"/>
      <w:ind w:left="0" w:firstLine="0"/>
    </w:pPr>
    <w:rPr>
      <w:rFonts w:ascii="Arial" w:hAnsi="Arial" w:cs="Arial"/>
      <w:color w:val="000000"/>
    </w:rPr>
  </w:style>
  <w:style w:type="paragraph" w:customStyle="1" w:styleId="Nivel3">
    <w:name w:val="Nivel 3"/>
    <w:basedOn w:val="Normal"/>
    <w:qFormat/>
    <w:rsid w:val="000011CD"/>
    <w:pPr>
      <w:numPr>
        <w:ilvl w:val="2"/>
        <w:numId w:val="15"/>
      </w:numPr>
      <w:spacing w:before="120" w:after="120"/>
      <w:ind w:left="425" w:firstLine="0"/>
    </w:pPr>
    <w:rPr>
      <w:rFonts w:ascii="Arial" w:eastAsia="Times New Roman" w:hAnsi="Arial" w:cs="Arial"/>
      <w:color w:val="000000"/>
      <w:sz w:val="20"/>
      <w:szCs w:val="20"/>
    </w:rPr>
  </w:style>
  <w:style w:type="paragraph" w:customStyle="1" w:styleId="Nivel4">
    <w:name w:val="Nivel 4"/>
    <w:basedOn w:val="Nivel3"/>
    <w:qFormat/>
    <w:rsid w:val="000011CD"/>
    <w:pPr>
      <w:numPr>
        <w:ilvl w:val="3"/>
      </w:numPr>
      <w:ind w:left="851" w:firstLine="0"/>
    </w:pPr>
    <w:rPr>
      <w:color w:val="auto"/>
    </w:rPr>
  </w:style>
  <w:style w:type="paragraph" w:customStyle="1" w:styleId="Nivel5">
    <w:name w:val="Nivel 5"/>
    <w:basedOn w:val="Nivel4"/>
    <w:qFormat/>
    <w:rsid w:val="000011CD"/>
    <w:pPr>
      <w:numPr>
        <w:ilvl w:val="4"/>
      </w:numPr>
      <w:ind w:left="1276" w:firstLine="0"/>
    </w:pPr>
  </w:style>
  <w:style w:type="character" w:customStyle="1" w:styleId="Nvel2-RedChar">
    <w:name w:val="Nível 2 -Red Char"/>
    <w:basedOn w:val="Nivel2Char"/>
    <w:link w:val="Nvel2-Red"/>
    <w:locked/>
    <w:rsid w:val="000011CD"/>
    <w:rPr>
      <w:rFonts w:ascii="Arial" w:hAnsi="Arial" w:cs="Arial"/>
      <w:i/>
      <w:iCs/>
      <w:color w:val="FF0000"/>
    </w:rPr>
  </w:style>
  <w:style w:type="paragraph" w:customStyle="1" w:styleId="Nvel2-Red">
    <w:name w:val="Nível 2 -Red"/>
    <w:basedOn w:val="Nivel2"/>
    <w:link w:val="Nvel2-RedChar"/>
    <w:qFormat/>
    <w:rsid w:val="000011CD"/>
    <w:rPr>
      <w:i/>
      <w:iCs/>
      <w:color w:val="FF0000"/>
    </w:rPr>
  </w:style>
  <w:style w:type="character" w:styleId="TextodoEspaoReservado">
    <w:name w:val="Placeholder Text"/>
    <w:basedOn w:val="Fontepargpadro"/>
    <w:uiPriority w:val="99"/>
    <w:semiHidden/>
    <w:rsid w:val="000011CD"/>
    <w:rPr>
      <w:color w:val="808080"/>
    </w:rPr>
  </w:style>
  <w:style w:type="character" w:customStyle="1" w:styleId="PargrafodaListaChar">
    <w:name w:val="Parágrafo da Lista Char"/>
    <w:aliases w:val="Item2 Char,Segundo Char,DOCs_Paragrafo-1 Char,Paragrafo Char,Lista Colorida - Ênfase 11 Char,Tópico1 Char,List I Paragraph Char"/>
    <w:link w:val="PargrafodaLista"/>
    <w:uiPriority w:val="34"/>
    <w:qFormat/>
    <w:locked/>
    <w:rsid w:val="000011CD"/>
  </w:style>
  <w:style w:type="character" w:customStyle="1" w:styleId="normaltextrun">
    <w:name w:val="normaltextrun"/>
    <w:basedOn w:val="Fontepargpadro"/>
    <w:rsid w:val="000011CD"/>
  </w:style>
  <w:style w:type="character" w:customStyle="1" w:styleId="Nivel01Char">
    <w:name w:val="Nivel 01 Char"/>
    <w:basedOn w:val="Fontepargpadro"/>
    <w:link w:val="Nivel01"/>
    <w:rsid w:val="00413654"/>
    <w:rPr>
      <w:rFonts w:ascii="Arial" w:eastAsia="Times New Roman" w:hAnsi="Arial" w:cs="Arial"/>
      <w:b/>
      <w:bCs/>
      <w:sz w:val="20"/>
      <w:szCs w:val="20"/>
    </w:rPr>
  </w:style>
  <w:style w:type="paragraph" w:styleId="NormalWeb">
    <w:name w:val="Normal (Web)"/>
    <w:basedOn w:val="Normal"/>
    <w:uiPriority w:val="99"/>
    <w:unhideWhenUsed/>
    <w:rsid w:val="0037672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whitespace-normal">
    <w:name w:val="whitespace-normal"/>
    <w:basedOn w:val="Fontepargpadro"/>
    <w:rsid w:val="00376723"/>
  </w:style>
  <w:style w:type="character" w:customStyle="1" w:styleId="TtuloChar">
    <w:name w:val="Título Char"/>
    <w:basedOn w:val="Fontepargpadro"/>
    <w:link w:val="Ttulo"/>
    <w:rsid w:val="00287E5B"/>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597146">
      <w:bodyDiv w:val="1"/>
      <w:marLeft w:val="0"/>
      <w:marRight w:val="0"/>
      <w:marTop w:val="0"/>
      <w:marBottom w:val="0"/>
      <w:divBdr>
        <w:top w:val="none" w:sz="0" w:space="0" w:color="auto"/>
        <w:left w:val="none" w:sz="0" w:space="0" w:color="auto"/>
        <w:bottom w:val="none" w:sz="0" w:space="0" w:color="auto"/>
        <w:right w:val="none" w:sz="0" w:space="0" w:color="auto"/>
      </w:divBdr>
    </w:div>
    <w:div w:id="997345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uVBJDwUtCFSp6ZZvw8c/dmxag==">CgMxLjAyCGguZ2pkZ3hzOAByITE1c1p4UEVETWoyMnpfdjRkNG50b3BTVzNoSlNDV2dmZQ==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15797E6-FE9B-4ED0-A011-4B2CE422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32</Pages>
  <Words>11825</Words>
  <Characters>63856</Characters>
  <Application>Microsoft Office Word</Application>
  <DocSecurity>0</DocSecurity>
  <Lines>532</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Rogerio Fragoso</dc:creator>
  <cp:lastModifiedBy>Douglas Ferraz</cp:lastModifiedBy>
  <cp:revision>46</cp:revision>
  <cp:lastPrinted>2026-02-12T17:51:00Z</cp:lastPrinted>
  <dcterms:created xsi:type="dcterms:W3CDTF">2026-03-18T19:29:00Z</dcterms:created>
  <dcterms:modified xsi:type="dcterms:W3CDTF">2026-06-30T16:40:00Z</dcterms:modified>
</cp:coreProperties>
</file>